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F" w:rsidRDefault="001939DF"/>
    <w:p w:rsidR="001939DF" w:rsidRPr="00B74128" w:rsidRDefault="001939DF" w:rsidP="001939DF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eastAsia="Calibri" w:hAnsi="Times New Roman" w:cs="Times New Roman"/>
          <w:sz w:val="18"/>
          <w:szCs w:val="18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1939DF" w:rsidRPr="00B74128" w:rsidRDefault="001939DF" w:rsidP="001939DF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ВЕСТИ</w:t>
      </w:r>
    </w:p>
    <w:p w:rsidR="001939DF" w:rsidRPr="00B74128" w:rsidRDefault="005A2581" w:rsidP="001939DF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eastAsia="ru-RU"/>
        </w:rPr>
        <w:t>16</w:t>
      </w:r>
      <w:r w:rsidR="001939DF">
        <w:rPr>
          <w:rFonts w:ascii="Times New Roman" w:eastAsia="Calibri" w:hAnsi="Times New Roman" w:cs="Times New Roman"/>
          <w:b/>
          <w:lang w:eastAsia="ru-RU"/>
        </w:rPr>
        <w:t xml:space="preserve">  июл</w:t>
      </w:r>
      <w:r w:rsidR="001939DF" w:rsidRPr="00B74128">
        <w:rPr>
          <w:rFonts w:ascii="Times New Roman" w:eastAsia="Calibri" w:hAnsi="Times New Roman" w:cs="Times New Roman"/>
          <w:b/>
          <w:lang w:eastAsia="ru-RU"/>
        </w:rPr>
        <w:t xml:space="preserve">я  2024г                                                                     </w:t>
      </w:r>
      <w:r w:rsidR="001939DF" w:rsidRPr="00B7412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1939DF"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1939DF" w:rsidRPr="00B741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9476D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№ 29 (663</w:t>
      </w:r>
      <w:r w:rsidR="001939DF"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 ОФИЦИАЛЬНО</w:t>
      </w:r>
    </w:p>
    <w:p w:rsidR="001939DF" w:rsidRPr="00B74128" w:rsidRDefault="001939DF" w:rsidP="001939DF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1939DF" w:rsidRPr="00B74128" w:rsidRDefault="001939DF" w:rsidP="001939DF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1939DF" w:rsidRDefault="001939DF"/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СТАРЫЙ АМАНАК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РАЙОНА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ПОХВИСТНЕВСКИЙ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Самарская область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446472, Самарская область,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тарый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Аманак,ул.Центральная,37А.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тел.44-5-71,факс (884656)44-5-73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ПОСТАНОВЛЕНИЕ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16.07.2024г.  № 41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отчёта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исполнении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бюджета сельского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полугодие  2024 г.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ст.264.2 Бюджетного Кодекса Российской Федерации, ст.76 Устава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ст.31,ст.32,ст.33 Положения «О бюджетном устройстве и бюджетном процессе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утвержденного Решением Собрания представителей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№137 от 10.08.2020г., Администрация сельского поселения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отчёт об исполнении бюджета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1полугодие 2024 года (прилагается)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Направить в Собрание представителей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комиссию по бюджетно-экономическим вопросам (контрольный орган) Собрания представителей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довести до жителей поселения путём обнародования, размещения на информационных щитах, досках, объявлений и в газете «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вести».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АДМИНИСТРАЦИЯ        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В собрание представителей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сельского поселения         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proofErr w:type="gramStart"/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АМАНАК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РАЙОНА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ПОХВИСТНЕВСКИЙ               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Председателю комиссии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8257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Самарская область                                    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бюджетно-экономическим вопросам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446472, Самарская область,                                                        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Собрания представителей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                                                        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тарый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Аманак,ул.Центральная,37А.                                      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тел.44-5-71,факс (884656)44-5-73                                                                                                    Д.Н.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Тремасову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16.07.2024г.№ 230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Исполнение доходной части бюджета сельского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r w:rsidRPr="008257A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полугодие 2024 года при плане 18 034 105,03 руб. составило 5 977 972,8 руб. или 33,2 % от годовых бюджетных назначений. Налоговые и неналоговые доходы поступили в бюджет сельского поселения в размере – 5 135 770,6 рублей или 48,5 % от годовых бюджетных назначений (план – 10 592 600,0 руб.), что составляет 85,9 % от общего объёма доходной части бюджета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Расходная часть бюджета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исполнена в объёме 7 021 136,74 рублей, что составляет 33,3% от годовых бюджетных назначений (план – 21 091 905,03 руб.).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Наибольший удельный вес в структуре расходов занимают расходы по разделу 0400 «Национальная экономика» при годовых назначениях 10 434 439,40 руб. исполнено 3707 355,93 рублей, что составило 52,8% от общего объёма расходной части бюджета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</w:t>
      </w:r>
    </w:p>
    <w:p w:rsidR="00920AFA" w:rsidRPr="008257AA" w:rsidRDefault="00920AFA" w:rsidP="008257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Самарской области</w:t>
      </w:r>
    </w:p>
    <w:p w:rsidR="00920AFA" w:rsidRPr="008257AA" w:rsidRDefault="00920AFA" w:rsidP="008257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16.07.2024 № 41</w:t>
      </w:r>
    </w:p>
    <w:p w:rsidR="00920AFA" w:rsidRPr="008257AA" w:rsidRDefault="00920AFA" w:rsidP="00825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численности муниципальных служащих и работников органов местного самоуправления, фактических затрат на их денежное содержание по Администрации сельского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920AFA" w:rsidRPr="008257AA" w:rsidRDefault="00920AFA" w:rsidP="00825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полугодие 2024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800"/>
        <w:gridCol w:w="2700"/>
      </w:tblGrid>
      <w:tr w:rsidR="00920AFA" w:rsidRPr="008257AA" w:rsidTr="00347D23">
        <w:tc>
          <w:tcPr>
            <w:tcW w:w="496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0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(чел.)</w:t>
            </w:r>
          </w:p>
        </w:tc>
        <w:tc>
          <w:tcPr>
            <w:tcW w:w="270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денежное содержание                (тыс. руб.)</w:t>
            </w:r>
          </w:p>
        </w:tc>
      </w:tr>
      <w:tr w:rsidR="00920AFA" w:rsidRPr="008257AA" w:rsidTr="00347D23">
        <w:tc>
          <w:tcPr>
            <w:tcW w:w="496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Муниципальные служащие органов местного самоуправления  </w:t>
            </w:r>
          </w:p>
        </w:tc>
        <w:tc>
          <w:tcPr>
            <w:tcW w:w="1800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1359,1</w:t>
            </w:r>
          </w:p>
        </w:tc>
      </w:tr>
      <w:tr w:rsidR="00920AFA" w:rsidRPr="008257AA" w:rsidTr="00347D23">
        <w:tc>
          <w:tcPr>
            <w:tcW w:w="496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Работники органов местного самоуправления, замещающих должности, не являющиеся должностями муниципальной службы  </w:t>
            </w:r>
          </w:p>
        </w:tc>
        <w:tc>
          <w:tcPr>
            <w:tcW w:w="1800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920AFA" w:rsidRPr="008257AA" w:rsidTr="00347D23">
        <w:tc>
          <w:tcPr>
            <w:tcW w:w="496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00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1419,1</w:t>
            </w:r>
          </w:p>
        </w:tc>
      </w:tr>
    </w:tbl>
    <w:p w:rsidR="00920AFA" w:rsidRPr="008257AA" w:rsidRDefault="00920AFA" w:rsidP="0082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920AFA" w:rsidRPr="008257AA" w:rsidRDefault="00920AFA" w:rsidP="00825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об использовании бюджетных ассигнований резервного фонда Администрации сельского поселения Старый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920AFA" w:rsidRPr="008257AA" w:rsidRDefault="00920AFA" w:rsidP="00825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полугодие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2631"/>
        <w:gridCol w:w="1046"/>
        <w:gridCol w:w="802"/>
        <w:gridCol w:w="1130"/>
        <w:gridCol w:w="915"/>
        <w:gridCol w:w="1372"/>
      </w:tblGrid>
      <w:tr w:rsidR="00920AFA" w:rsidRPr="008257AA" w:rsidTr="00347D23">
        <w:tc>
          <w:tcPr>
            <w:tcW w:w="172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 бюджетных</w:t>
            </w:r>
          </w:p>
        </w:tc>
        <w:tc>
          <w:tcPr>
            <w:tcW w:w="2783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134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67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  </w:t>
            </w:r>
          </w:p>
        </w:tc>
        <w:tc>
          <w:tcPr>
            <w:tcW w:w="140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Исполнено, тыс. рублей  </w:t>
            </w:r>
          </w:p>
        </w:tc>
      </w:tr>
      <w:tr w:rsidR="00920AFA" w:rsidRPr="008257AA" w:rsidTr="00347D23">
        <w:tc>
          <w:tcPr>
            <w:tcW w:w="1720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783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</w:tc>
        <w:tc>
          <w:tcPr>
            <w:tcW w:w="1134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65Б0007990</w:t>
            </w:r>
          </w:p>
        </w:tc>
        <w:tc>
          <w:tcPr>
            <w:tcW w:w="967" w:type="dxa"/>
          </w:tcPr>
          <w:p w:rsidR="00920AFA" w:rsidRPr="008257AA" w:rsidRDefault="00920AFA" w:rsidP="00825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8" w:type="dxa"/>
          </w:tcPr>
          <w:p w:rsidR="00920AFA" w:rsidRPr="008257AA" w:rsidRDefault="00920AFA" w:rsidP="00825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920AFA" w:rsidRPr="008257AA" w:rsidRDefault="00920AFA" w:rsidP="0082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AFA" w:rsidRPr="008257AA" w:rsidRDefault="00920AF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920AFA" w:rsidRPr="008257AA" w:rsidRDefault="008257AA" w:rsidP="008257AA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920AFA" w:rsidRPr="008257AA" w:rsidRDefault="00920AFA" w:rsidP="008257AA">
      <w:pPr>
        <w:spacing w:line="240" w:lineRule="auto"/>
        <w:rPr>
          <w:sz w:val="18"/>
          <w:szCs w:val="18"/>
        </w:rPr>
      </w:pPr>
    </w:p>
    <w:p w:rsidR="001939DF" w:rsidRPr="008257AA" w:rsidRDefault="00935A5E" w:rsidP="008257AA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 МО МВД России «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» подвели итоги проделанной работы за 6 месяцев 2024 года.</w:t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В ходе расширенного заседания под председательством </w:t>
      </w:r>
      <w:proofErr w:type="gram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начальника межмуниципального отдела полковника полиции Юры</w:t>
      </w:r>
      <w:proofErr w:type="gram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Алекяна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прошло подведение итогов оперативно служебной деятельности за первое полугодие 2024 года. </w:t>
      </w:r>
      <w:proofErr w:type="gram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В мероприятии приняли участие заместитель начальника полиции по охране общественного порядка ГУ МВД России по Самарской области полковник полиции Юрий Дмитриев, Глава городского округа Похвистнево Сергей Попов, Глава муниципального района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Юрий Рябов, заместитель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Похвистневского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межрайонного прокурора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Похвистневской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межрайонной прокуратуры младший советник юстиции Алексей Евдокимов, а также личный состав территориального отдела ОВД.</w:t>
      </w:r>
      <w:proofErr w:type="gram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Об итогах работы полиции за отчетный период довел начальник полковник полиции Юра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. Руководитель отметил, что за 6 месяцев 2024 года возросло количество зарегистрированных преступлений на обслуживаемой территории, вместе с тем увеличился показатель раскрываемости уголовных дел и достигнута 100% раскрываемость наиболее тяжких видов преступлений, таких как причинение тяжкого </w:t>
      </w:r>
      <w:proofErr w:type="gram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вреда</w:t>
      </w:r>
      <w:proofErr w:type="gram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здоровью, грабеж, незаконный оборот наркотиков. Также полковник полиции обратил внимание 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lastRenderedPageBreak/>
        <w:t xml:space="preserve">присутствующих на увеличение количества преступлений, совершенных с использованием информационно – коммуникационных технологий, что составило 36,8% от общего числа зарегистрированных преступлений. «С применением современных технологий совершаются кражи, сбыт наркотических средств и мошенничества» - говорит Юра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В 2024 году продолжилась работа по контролю миграционной ситуации и административному надзору. Также ряд задач было решено совместно с органами местного самоуправления в рамках муниципальных программ правоохранительной направленности. За первые 6 месяцев было рассмотрено 404 обращения граждан, на личном приеме руководством межмуниципального отдела было принято 24 гражданина. «Реализованный комплекс мер, высокий уровень взаимодействия с другими правоохранительными органами, органами местного самоуправления позволили сохранить контроль над оперативной обстановкой» - подытожил начальник отдела.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В продолжение с докладом по итогам деятельности выступили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Врио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заместителя начальника – начальника полиции майор полиции Тимур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Кинжалеев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и заместитель начальника – начальник следственного отдела подполковник юстиции Анастасия Гусева. Руководители довели о проведенных мерах по борьбе с IT мошенничеством, о результатах взаимодействия подразделений при расследовании данных преступлений. Также в рамках вопроса присутствующие обсудили перспективные направления деятельности по предупреждению населения города и района от мошеннических действий. О преступлениях превентивной направленности и работе по их выявлению довел заместитель начальника полиции по охране общественного порядка подполковник полиции Александр Филиппов. Также он доложил о принимаемых мерах по предупреждению тяжких и особо тяжких преступлений.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Подводя итоги, полковник полиции Юрий Дмитриев обратил внимание присутствующих на необходимость продолжения работы в сфере миграции и пресечения оборота незаконных веществ. Также он призвал руководство отделения Госавтоинспекции обратить внимание на дорожную безопасность города и района, состояние улично-дорожной сети, в том числе дорожного полотна и разметки, определил задачи по взаимодействию ОУУП и ПДН с директорами школ и главами сельских поселений.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В завершение встречи начальник межмуниципального отдела поблагодарил за помощь и участие в оперативно служебной деятельности Главное управление МВД России по Самарской области, а также глав города и района,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Похвистневскую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межрайонную прокуратуру за совместную работу. Юра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высказал слова благодарности всему личному составу за добросовестное исполнение служебных обязанностей и достижение высоких результатов в службе.</w:t>
      </w:r>
    </w:p>
    <w:p w:rsidR="001939DF" w:rsidRPr="008257AA" w:rsidRDefault="00895AFE" w:rsidP="008257AA">
      <w:pPr>
        <w:spacing w:line="240" w:lineRule="auto"/>
        <w:rPr>
          <w:sz w:val="18"/>
          <w:szCs w:val="18"/>
        </w:rPr>
      </w:pP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0A35BBF5" wp14:editId="4A7854D5">
            <wp:extent cx="1076325" cy="716919"/>
            <wp:effectExtent l="0" t="0" r="0" b="6985"/>
            <wp:docPr id="1" name="Рисунок 1" descr="C:\Users\ASUS\AppData\Local\Temp\7zO84C351B4\snLi7d7HL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4C351B4\snLi7d7HL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95" cy="71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055B5D61" wp14:editId="1D19F83B">
            <wp:extent cx="1071981" cy="714375"/>
            <wp:effectExtent l="0" t="0" r="0" b="0"/>
            <wp:docPr id="2" name="Рисунок 2" descr="C:\Users\ASUS\AppData\Local\Temp\7zO84CEC414\zoY7-_aH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4CEC414\zoY7-_aHOk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08" cy="71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DF" w:rsidRPr="008257AA" w:rsidRDefault="001939DF" w:rsidP="008257AA">
      <w:pPr>
        <w:spacing w:line="240" w:lineRule="auto"/>
        <w:rPr>
          <w:sz w:val="18"/>
          <w:szCs w:val="18"/>
        </w:rPr>
      </w:pPr>
    </w:p>
    <w:p w:rsidR="001939DF" w:rsidRPr="008257AA" w:rsidRDefault="00A56A87" w:rsidP="008257AA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 w:rsidRPr="008257AA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0854A66F" wp14:editId="3281B03D">
            <wp:extent cx="152400" cy="152400"/>
            <wp:effectExtent l="0" t="0" r="0" b="0"/>
            <wp:docPr id="3" name="Рисунок 3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Злоумышленник получает доступ к странице пользователя и от его имени под различными предлогами просит одолжить денежные средства, предоставить реквизиты банковских карт или же перейти по ссылке.</w:t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3452EBAD" wp14:editId="6C282BAE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Многие граждане, которым приходит данная просьба от «друга», не перепроверяют информацию и перечисляют деньги, переходят по предлагаемым ссылкам, например, «проголосуй за мою племянницу»...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И так становятся жертвами мошенников.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C209843" wp14:editId="697E2B76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Запомните, при поступлении сообщения в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соцсети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с просьбой одолжить денежные средства перепроверяйте информацию, свяжитесь сами с этим человеком, с его родственниками.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8257A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8564801" wp14:editId="111504B1">
            <wp:extent cx="152400" cy="152400"/>
            <wp:effectExtent l="0" t="0" r="0" b="0"/>
            <wp:docPr id="6" name="Рисунок 6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А если вы пострадали от рук мошенников – немедленно звоните в полицию!</w:t>
      </w:r>
    </w:p>
    <w:p w:rsidR="001939DF" w:rsidRPr="008257AA" w:rsidRDefault="00A56A87" w:rsidP="008257AA">
      <w:pPr>
        <w:spacing w:line="240" w:lineRule="auto"/>
        <w:rPr>
          <w:sz w:val="18"/>
          <w:szCs w:val="18"/>
        </w:rPr>
      </w:pP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6E61A1DC" wp14:editId="328B7187">
            <wp:extent cx="1600200" cy="1600200"/>
            <wp:effectExtent l="0" t="0" r="0" b="0"/>
            <wp:docPr id="7" name="Рисунок 7" descr="C:\Users\ASUS\AppData\Local\Temp\Rar$DIa8008.4457\мошенниче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Ia8008.4457\мошенничество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45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2A8F2495" wp14:editId="507B281E">
            <wp:extent cx="1571625" cy="1571625"/>
            <wp:effectExtent l="0" t="0" r="9525" b="9525"/>
            <wp:docPr id="8" name="Рисунок 8" descr="C:\Users\ASUS\AppData\Local\Temp\Rar$DIa8008.6376\мошенниче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Ia8008.6376\мошенничество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0784" cy="157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DF" w:rsidRPr="008257AA" w:rsidRDefault="00A56A87" w:rsidP="008257AA">
      <w:pPr>
        <w:spacing w:line="240" w:lineRule="auto"/>
        <w:rPr>
          <w:sz w:val="18"/>
          <w:szCs w:val="18"/>
        </w:rPr>
      </w:pPr>
      <w:r w:rsidRPr="008257AA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1FBEE563" wp14:editId="7972BC50">
            <wp:extent cx="1238250" cy="1238250"/>
            <wp:effectExtent l="0" t="0" r="0" b="0"/>
            <wp:docPr id="9" name="Рисунок 9" descr="C:\Users\ASUS\AppData\Local\Temp\Rar$DIa8008.8884\мошенничеств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Rar$DIa8008.8884\мошенничество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7589" cy="1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41AF2F7D" wp14:editId="78BDB3EF">
            <wp:extent cx="1219200" cy="1219200"/>
            <wp:effectExtent l="0" t="0" r="0" b="0"/>
            <wp:docPr id="10" name="Рисунок 10" descr="C:\Users\ASUS\AppData\Local\Temp\Rar$DIa8008.10731\мошенничеств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Rar$DIa8008.10731\мошенничество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9" cy="1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6B" w:rsidRPr="008257AA" w:rsidRDefault="00303D6B" w:rsidP="008257AA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– что может быть проще!</w:t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</w:rPr>
        <w:br/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Зарегистрировать или снять транспортное средство с учёта, выдать или заменить регистрационные знаки, получить или заменить водительское удостоверение, подать заявление на сдачу экзамена – все эти действия можно спланировать на удобное для вас время, а главное – без очереди. Сделать это можно либо по мобильному телефону, либо с помощью персонального компьютера. Главное условие – предварительная регистрация на сайте </w:t>
      </w:r>
      <w:hyperlink r:id="rId15" w:tgtFrame="_blank" w:history="1">
        <w:r w:rsidRPr="008257AA">
          <w:rPr>
            <w:rFonts w:ascii="Arial" w:eastAsia="Calibri" w:hAnsi="Arial" w:cs="Arial"/>
            <w:color w:val="0000FF"/>
            <w:sz w:val="18"/>
            <w:szCs w:val="18"/>
            <w:shd w:val="clear" w:color="auto" w:fill="FFFFFF"/>
          </w:rPr>
          <w:t>www.gosuslugi.ru</w:t>
        </w:r>
      </w:hyperlink>
      <w:r w:rsidR="008257AA"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На сегодняшний день самые востребованные </w:t>
      </w:r>
      <w:proofErr w:type="gram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государственными</w:t>
      </w:r>
      <w:proofErr w:type="gram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услуги по линии Госавтоинспекции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ГИБДД – это воспользоваться возможностями Интернет-сайта </w:t>
      </w:r>
      <w:hyperlink r:id="rId16" w:tgtFrame="_blank" w:history="1">
        <w:r w:rsidRPr="008257AA">
          <w:rPr>
            <w:rFonts w:ascii="Arial" w:eastAsia="Calibri" w:hAnsi="Arial" w:cs="Arial"/>
            <w:color w:val="0000FF"/>
            <w:sz w:val="18"/>
            <w:szCs w:val="18"/>
            <w:shd w:val="clear" w:color="auto" w:fill="FFFFFF"/>
          </w:rPr>
          <w:t>www.gosuslugi.ru</w:t>
        </w:r>
      </w:hyperlink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или необходимой информации.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В онлайн заявление нужно будет ввести данные паспорта; нотариально заверенной доверенности (для доверенных представителей); ПТС; СТС; документа, подтверждающего право собственности (договор купли-продажи и</w:t>
      </w:r>
      <w:r w:rsidR="008257AA"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др.); страхового полиса ОСАГО.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При посещении регистрационно-экзаменационного отделения понадобят</w:t>
      </w:r>
      <w:r w:rsidR="008257AA"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ся оригиналы данных документов!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Заполните данные, выберите отделение, дату и время приёма.</w:t>
      </w:r>
      <w:r w:rsidRPr="008257A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При необходимости можно перенести время записи или сменить подразделение. Для этого перейдите на вкладку Заявления в личном кабинете и найдите то, в котором записывались на приём. Отмените его и подайте новое заявление на нужное время.</w:t>
      </w:r>
    </w:p>
    <w:p w:rsidR="00317E30" w:rsidRPr="008257AA" w:rsidRDefault="00317E30" w:rsidP="008257AA">
      <w:pPr>
        <w:spacing w:line="240" w:lineRule="auto"/>
        <w:rPr>
          <w:sz w:val="18"/>
          <w:szCs w:val="18"/>
        </w:rPr>
      </w:pPr>
      <w:r w:rsidRPr="008257AA">
        <w:rPr>
          <w:noProof/>
          <w:sz w:val="18"/>
          <w:szCs w:val="18"/>
          <w:lang w:eastAsia="ru-RU"/>
        </w:rPr>
        <w:drawing>
          <wp:inline distT="0" distB="0" distL="0" distR="0" wp14:anchorId="20ACDCC0" wp14:editId="229D6E38">
            <wp:extent cx="895350" cy="1272449"/>
            <wp:effectExtent l="0" t="0" r="0" b="4445"/>
            <wp:docPr id="11" name="Рисунок 11" descr="C:\Users\ASUS\AppData\Local\Temp\7zO00E52819\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0E52819\гос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AA" w:rsidRPr="008257AA" w:rsidRDefault="008257AA" w:rsidP="008257AA">
      <w:pPr>
        <w:spacing w:line="240" w:lineRule="auto"/>
        <w:rPr>
          <w:sz w:val="18"/>
          <w:szCs w:val="18"/>
        </w:rPr>
      </w:pP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>МО МВД России «</w:t>
      </w:r>
      <w:proofErr w:type="spellStart"/>
      <w:r w:rsidRPr="008257AA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» приглашает на службу по должности 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>-дознаватель ОД;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-следователь </w:t>
      </w:r>
      <w:proofErr w:type="gramStart"/>
      <w:r w:rsidRPr="008257AA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Pr="008257AA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граждан из числа бывших сотрудников МВД, а также отслуживших по призыву в Вооруженных Силах Российской Федерации.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Заработная плата дознавателя от 44 500 р., следователя от 49 300р.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 стабильное денежное довольствие;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ежегодный оплачиваемый отпуск;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 возможность выхода на пенсию по выслуге лет (20 лет);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иногородних);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</w:t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8257A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По вопросам трудоустройства обращаться по адресу: </w:t>
      </w:r>
      <w:proofErr w:type="spellStart"/>
      <w:r w:rsidRPr="008257AA">
        <w:rPr>
          <w:rFonts w:ascii="Times New Roman" w:eastAsia="Calibri" w:hAnsi="Times New Roman" w:cs="Times New Roman"/>
          <w:sz w:val="18"/>
          <w:szCs w:val="18"/>
        </w:rPr>
        <w:t>г</w:t>
      </w:r>
      <w:proofErr w:type="gramStart"/>
      <w:r w:rsidRPr="008257AA">
        <w:rPr>
          <w:rFonts w:ascii="Times New Roman" w:eastAsia="Calibri" w:hAnsi="Times New Roman" w:cs="Times New Roman"/>
          <w:sz w:val="18"/>
          <w:szCs w:val="18"/>
        </w:rPr>
        <w:t>.П</w:t>
      </w:r>
      <w:proofErr w:type="gramEnd"/>
      <w:r w:rsidRPr="008257AA">
        <w:rPr>
          <w:rFonts w:ascii="Times New Roman" w:eastAsia="Calibri" w:hAnsi="Times New Roman" w:cs="Times New Roman"/>
          <w:sz w:val="18"/>
          <w:szCs w:val="18"/>
        </w:rPr>
        <w:t>охвистнево</w:t>
      </w:r>
      <w:proofErr w:type="spellEnd"/>
      <w:r w:rsidRPr="008257AA">
        <w:rPr>
          <w:rFonts w:ascii="Times New Roman" w:eastAsia="Calibri" w:hAnsi="Times New Roman" w:cs="Times New Roman"/>
          <w:sz w:val="18"/>
          <w:szCs w:val="18"/>
        </w:rPr>
        <w:t>, ул. Советская 4 каб.10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>Контактные телефоны: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Начальник </w:t>
      </w:r>
      <w:proofErr w:type="spellStart"/>
      <w:r w:rsidRPr="008257AA">
        <w:rPr>
          <w:rFonts w:ascii="Times New Roman" w:eastAsia="Calibri" w:hAnsi="Times New Roman" w:cs="Times New Roman"/>
          <w:sz w:val="18"/>
          <w:szCs w:val="18"/>
        </w:rPr>
        <w:t>Алекян</w:t>
      </w:r>
      <w:proofErr w:type="spellEnd"/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 Юра </w:t>
      </w:r>
      <w:proofErr w:type="spellStart"/>
      <w:r w:rsidRPr="008257AA">
        <w:rPr>
          <w:rFonts w:ascii="Times New Roman" w:eastAsia="Calibri" w:hAnsi="Times New Roman" w:cs="Times New Roman"/>
          <w:sz w:val="18"/>
          <w:szCs w:val="18"/>
        </w:rPr>
        <w:t>Рутикович</w:t>
      </w:r>
      <w:proofErr w:type="spellEnd"/>
      <w:r w:rsidRPr="008257AA">
        <w:rPr>
          <w:rFonts w:ascii="Times New Roman" w:eastAsia="Calibri" w:hAnsi="Times New Roman" w:cs="Times New Roman"/>
          <w:sz w:val="18"/>
          <w:szCs w:val="18"/>
        </w:rPr>
        <w:t xml:space="preserve"> 8(84656)2-50-97, 8(84656)2-58-47</w:t>
      </w:r>
    </w:p>
    <w:p w:rsidR="0060304A" w:rsidRPr="008257AA" w:rsidRDefault="0060304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257AA">
        <w:rPr>
          <w:rFonts w:ascii="Times New Roman" w:eastAsia="Calibri" w:hAnsi="Times New Roman" w:cs="Times New Roman"/>
          <w:sz w:val="18"/>
          <w:szCs w:val="18"/>
        </w:rPr>
        <w:t>Заместитель начальника – начальник отделения по работе с личным составом Сорокина Наталья Петровна 8(84656)2-34-69</w:t>
      </w:r>
    </w:p>
    <w:p w:rsidR="0046012A" w:rsidRPr="008257AA" w:rsidRDefault="0046012A" w:rsidP="008257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6012A" w:rsidRPr="008257AA" w:rsidRDefault="0046012A" w:rsidP="008257AA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Сдай, незаконно хранящееся, оружие и получи вознаграждение!</w:t>
      </w:r>
    </w:p>
    <w:p w:rsidR="0046012A" w:rsidRPr="008257AA" w:rsidRDefault="0046012A" w:rsidP="008257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Уважаемые жители города и района на территории Самарской области проходят мероприятия, направленные на добровольную сдачу населением незаконно хранящегося огнестрельного оружия, боеприпасов, взрывчатых веществ и взрывных устройств, на возмездной основе.</w:t>
      </w:r>
    </w:p>
    <w:p w:rsidR="0046012A" w:rsidRPr="008257AA" w:rsidRDefault="0046012A" w:rsidP="008257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 соответствии с действующим законодательством, добровольной сдачей считается выдача лицом вышеуказанных предметов вооружения по собственной воле или сообщение органам власти о месте их нахождения.</w:t>
      </w:r>
    </w:p>
    <w:p w:rsidR="0046012A" w:rsidRPr="008257AA" w:rsidRDefault="0046012A" w:rsidP="008257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у Вас имеются незарегистрированное оружие, боеприпасы, патроны к оружию, взрывные устройства и взрывчатые вещества, которые Вы нашли, либо они остались от умерших родственников и т.п., данные предметы необходимо сдать в ближайший отдел полиции. Этим Вы обезопасите себя, а также сможете получить материальное вознаграждение.</w:t>
      </w:r>
    </w:p>
    <w:p w:rsidR="0046012A" w:rsidRPr="008257AA" w:rsidRDefault="0046012A" w:rsidP="008257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 вознаграждения определяется по результатам осмотра технического состояния предмета вооружения. Правительством Самарской области установлены следующие размеры вознаграждения:</w:t>
      </w:r>
    </w:p>
    <w:p w:rsidR="0046012A" w:rsidRPr="008257AA" w:rsidRDefault="0046012A" w:rsidP="00825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к Постановлению Правительства Самарской области от 30 апреля 2014 г. N 242 РАЗМЕР ДЕНЕЖНОГО ВОЗНАГРАЖДЕНИЯ ЗА ДОБРОВОЛЬНУЮ СДАЧУ НЕЗАКОННО ХРАНЯЩЕГОСЯ ОРУЖИЯ, БОЕПРИПАСОВ, ВЗРЫВЧАТЫХ ВЕЩЕСТВ И ВЗРЫВНЫХ УСТРОЙСТВ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842"/>
        <w:gridCol w:w="2163"/>
      </w:tblGrid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оружия, боеприпасов, взрывчатых веществ и взрывных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денежного вознаграждения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Служебное и боевое ручное стрелковое оружие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Пистолеты, револьверы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Автоматы, пулеметы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 рублей за единицу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Гражданское оружие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Огнестрельное охотничье, спортивное оружие с нарезным стволом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Охотничье пневматическое, огнестрельное, гладкоствольное, спортивное гладкоствольное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Огнестрельное оружие ограниченного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Газовое оружие (пистолеты и револьверы)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 рублей за единицу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(п. 2.4 </w:t>
            </w:r>
            <w:proofErr w:type="gram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</w:t>
            </w:r>
            <w:proofErr w:type="gramEnd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Постановлением Правительства Самарской области от 22.07.2019 N 499)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Боеприпасы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Патроны для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Патроны для гладкоствольного оружия, огнестрельного бесствольного оружия самообороны, оружия ограниченного поражения, газового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рублей за единицу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Самодельное оружие, обрезы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Самодельное нарезное оружие, в том числе короткоствольное, обрез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Самодельное гладкоствольное оружие, обрез гладкоствольного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рублей за единицу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Взрывчатые вещества и взрывные устройства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 рублей за 100 грамм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Тротил, аммонит, </w:t>
            </w:r>
            <w:proofErr w:type="spellStart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граммонит</w:t>
            </w:r>
            <w:proofErr w:type="spellEnd"/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гексоген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рублей за 100 грамм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Порох охотничий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рублей за 100 грамм</w:t>
            </w:r>
          </w:p>
        </w:tc>
      </w:tr>
      <w:tr w:rsidR="0046012A" w:rsidRPr="008257AA" w:rsidTr="003403DF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Взрывные устройства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Взрывные устройства промышленного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 рублей за единицу</w:t>
            </w:r>
          </w:p>
        </w:tc>
      </w:tr>
      <w:tr w:rsidR="0046012A" w:rsidRPr="008257AA" w:rsidTr="003403DF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Самодельные взрывные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12A" w:rsidRPr="008257AA" w:rsidRDefault="0046012A" w:rsidP="008257AA">
            <w:pPr>
              <w:spacing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 рублей за единицу</w:t>
            </w:r>
          </w:p>
        </w:tc>
      </w:tr>
    </w:tbl>
    <w:p w:rsidR="0046012A" w:rsidRPr="008257AA" w:rsidRDefault="0046012A" w:rsidP="008257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 на получение денежного вознаграждения за добровольную сдачу незаконно хранящегося огнестрельного оружия, боеприпасов, взрывчатых веществ и взрывных устройств имеют граждане в возрасте старше 18 лет, добровольно сдавшие огнестрельное оружие, боеприпасы, взрывчатые вещества и взрывные устройства в порядке, установленном действующим законодательством Российской Федерации, в территориальные органы Министерства внутренних дел Российской Федерации в Самарской области.</w:t>
      </w:r>
      <w:proofErr w:type="gramEnd"/>
    </w:p>
    <w:p w:rsidR="0060304A" w:rsidRPr="008257AA" w:rsidRDefault="0046012A" w:rsidP="008257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 отметить, что граждане, добровольно сдавшие незарегистрированное и незаконно хранящееся оружие и боеприпасы, освобождаются от уголовной и административной ответственности. Прием незаконно хранящегося оружия и боеприпасов осуществляется ДЧ МО МВД России «</w:t>
      </w:r>
      <w:proofErr w:type="spellStart"/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по адресу: г. Похвистнево, ул. </w:t>
      </w:r>
      <w:proofErr w:type="gramStart"/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Советская</w:t>
      </w:r>
      <w:proofErr w:type="gramEnd"/>
      <w:r w:rsidRPr="008257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4, получение дополнительной информации по телефонам 02, 2-34-69</w:t>
      </w:r>
    </w:p>
    <w:p w:rsidR="006B7628" w:rsidRPr="008257AA" w:rsidRDefault="006B7628" w:rsidP="008257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7AA">
        <w:rPr>
          <w:rFonts w:ascii="Segoe UI Symbol" w:eastAsia="Times New Roman" w:hAnsi="Segoe UI Symbol" w:cs="Segoe UI Symbol"/>
          <w:color w:val="2C2D2E"/>
          <w:sz w:val="18"/>
          <w:szCs w:val="18"/>
          <w:shd w:val="clear" w:color="auto" w:fill="FFFFFF"/>
          <w:lang w:eastAsia="ru-RU"/>
        </w:rPr>
        <w:t>❗</w:t>
      </w: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  <w:lang w:eastAsia="ru-RU"/>
        </w:rPr>
        <w:t>Внимание: в Самарской области началась оперативно - профилактическая операция «Мак – 2024».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В целях предупреждения и выявления правонарушений в сфере незаконного оборота наркотических средств естественного происхождения на территории 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Похвистневского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района с 22  июля по 31 июля 2024 года проходит оперативно-профилактическая операция «Мак – 2024»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Данная Операция направлена на выявление мест произрастания 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наркосодержащих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растений, лиц, имеющих умысел выращивания, культивирования указанных растений с целью дальнейшего употребления или сбыта, а также перевозку мака, конопли (и производных данных растений).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МО МВД России «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» напоминает гражданам, землевладельцам и землепользователям, должностным и юридическим лицам об ответственности за незаконное культивирование, запрещённых к возделыванию 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наркотикосодержащих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растений и непринятие мер по их уничтожению.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Каждый из вас может сообщить о фактах распространения наркотических средств и психотропных веществ по телефонам: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Главного управления МВД России по Самарской области — 8(846) 278-22-22;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Дежурной части МО МВД России «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Похвистневский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» — 8(846 56) 2-34-69, 102;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Также подать заявление можно через официальный интернет-сайт </w:t>
      </w:r>
      <w:hyperlink r:id="rId18" w:tgtFrame="_blank" w:history="1">
        <w:r w:rsidRPr="008257A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https://63.мвд.рф</w:t>
        </w:r>
      </w:hyperlink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 через сервис «Прием обращений». </w:t>
      </w:r>
    </w:p>
    <w:p w:rsidR="006B7628" w:rsidRPr="008257AA" w:rsidRDefault="006B7628" w:rsidP="00825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Сотрудники полиции призывают жителей города Похвистнево и </w:t>
      </w:r>
      <w:proofErr w:type="spellStart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Похвистневского</w:t>
      </w:r>
      <w:proofErr w:type="spellEnd"/>
      <w:r w:rsidRPr="008257AA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района присоединиться к широкомасштабной межведомственной комплексной оперативно - профилактической операции «Мак – 2024».</w:t>
      </w:r>
    </w:p>
    <w:p w:rsidR="006B7628" w:rsidRPr="006B7628" w:rsidRDefault="006B7628" w:rsidP="006B7628">
      <w:pPr>
        <w:rPr>
          <w:rFonts w:ascii="Times New Roman" w:eastAsia="Calibri" w:hAnsi="Times New Roman" w:cs="Times New Roman"/>
          <w:sz w:val="20"/>
        </w:rPr>
      </w:pPr>
    </w:p>
    <w:p w:rsidR="0060304A" w:rsidRDefault="006B7628">
      <w:r>
        <w:rPr>
          <w:noProof/>
          <w:lang w:eastAsia="ru-RU"/>
        </w:rPr>
        <w:drawing>
          <wp:inline distT="0" distB="0" distL="0" distR="0">
            <wp:extent cx="942975" cy="942975"/>
            <wp:effectExtent l="0" t="0" r="9525" b="9525"/>
            <wp:docPr id="12" name="Рисунок 12" descr="C:\Users\ASUS\AppData\Local\Temp\7zO8C9B3E3E\1721289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C9B3E3E\17212892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1" cy="94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28" w:rsidRDefault="006B7628">
      <w:bookmarkStart w:id="0" w:name="_GoBack"/>
      <w:bookmarkEnd w:id="0"/>
    </w:p>
    <w:tbl>
      <w:tblPr>
        <w:tblpPr w:leftFromText="180" w:rightFromText="180" w:bottomFromText="200" w:vertAnchor="text" w:horzAnchor="margin" w:tblpX="-601" w:tblpY="31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1939DF" w:rsidRPr="00B74128" w:rsidTr="003403DF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DF" w:rsidRPr="00B74128" w:rsidRDefault="001939DF" w:rsidP="003403DF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1939DF" w:rsidRPr="00B74128" w:rsidRDefault="001939DF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1939DF" w:rsidRPr="00B74128" w:rsidRDefault="001939DF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1939DF" w:rsidRPr="00B74128" w:rsidRDefault="001939DF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1939DF" w:rsidRPr="00B74128" w:rsidTr="003403DF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DF" w:rsidRPr="00B74128" w:rsidRDefault="001939DF" w:rsidP="003403DF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1939DF" w:rsidRPr="00B74128" w:rsidRDefault="001939DF" w:rsidP="003403DF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1939DF" w:rsidRDefault="001939DF"/>
    <w:sectPr w:rsidR="0019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FB"/>
    <w:rsid w:val="000F3942"/>
    <w:rsid w:val="001939DF"/>
    <w:rsid w:val="0029614D"/>
    <w:rsid w:val="00303D6B"/>
    <w:rsid w:val="00317E30"/>
    <w:rsid w:val="0046012A"/>
    <w:rsid w:val="005A2581"/>
    <w:rsid w:val="0060304A"/>
    <w:rsid w:val="006B7628"/>
    <w:rsid w:val="008257AA"/>
    <w:rsid w:val="008545FB"/>
    <w:rsid w:val="00895AFE"/>
    <w:rsid w:val="00920AFA"/>
    <w:rsid w:val="00935A5E"/>
    <w:rsid w:val="009476DB"/>
    <w:rsid w:val="00A56A87"/>
    <w:rsid w:val="00C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63.xn--b1aew.xn--p1a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%3A%2F%2Fwww.gosuslugi.ru&amp;post=536760202_2752&amp;cc_key=&amp;track_code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%3A%2F%2Fwww.gosuslugi.ru&amp;post=536760202_2752&amp;cc_key=&amp;track_code=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2870</Words>
  <Characters>16364</Characters>
  <Application>Microsoft Office Word</Application>
  <DocSecurity>0</DocSecurity>
  <Lines>136</Lines>
  <Paragraphs>38</Paragraphs>
  <ScaleCrop>false</ScaleCrop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2024-07-22T07:39:00Z</dcterms:created>
  <dcterms:modified xsi:type="dcterms:W3CDTF">2024-08-22T07:42:00Z</dcterms:modified>
</cp:coreProperties>
</file>