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6D" w:rsidRDefault="00F4406D" w:rsidP="00F4406D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F4406D" w:rsidRDefault="00F4406D" w:rsidP="00F4406D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F4406D" w:rsidRDefault="00F4406D" w:rsidP="00F4406D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26 апреля  2024г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18 (652) ОФИЦИАЛЬНО</w:t>
      </w:r>
    </w:p>
    <w:p w:rsidR="00F4406D" w:rsidRDefault="00F4406D" w:rsidP="00F4406D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F4406D" w:rsidRPr="00CC5A7D" w:rsidRDefault="00F4406D" w:rsidP="00F4406D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0135CE" w:rsidRDefault="000135CE"/>
    <w:p w:rsidR="00EE3FB5" w:rsidRPr="00155C3B" w:rsidRDefault="00EE3FB5" w:rsidP="00155C3B">
      <w:pPr>
        <w:keepNext/>
        <w:widowControl w:val="0"/>
        <w:tabs>
          <w:tab w:val="left" w:pos="7605"/>
        </w:tabs>
        <w:suppressAutoHyphens/>
        <w:spacing w:after="0" w:line="240" w:lineRule="auto"/>
        <w:jc w:val="both"/>
        <w:outlineLvl w:val="0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Lucida Sans Unicode" w:hAnsi="Times New Roman" w:cs="Times New Roman"/>
          <w:b/>
          <w:bCs/>
          <w:color w:val="000000"/>
          <w:sz w:val="18"/>
          <w:szCs w:val="18"/>
          <w:lang w:bidi="en-US"/>
        </w:rPr>
        <w:t xml:space="preserve">  </w:t>
      </w: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                 СОБРАНИЕ                                                                </w:t>
      </w:r>
    </w:p>
    <w:p w:rsidR="00EE3FB5" w:rsidRPr="00155C3B" w:rsidRDefault="00EE3FB5" w:rsidP="00155C3B">
      <w:pPr>
        <w:keepNext/>
        <w:tabs>
          <w:tab w:val="left" w:pos="7170"/>
        </w:tabs>
        <w:spacing w:after="0" w:line="240" w:lineRule="auto"/>
        <w:ind w:firstLine="142"/>
        <w:jc w:val="both"/>
        <w:outlineLvl w:val="0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         ПРЕДСТАВИТЕЛЕЙ</w:t>
      </w: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ab/>
      </w:r>
    </w:p>
    <w:p w:rsidR="00EE3FB5" w:rsidRPr="00155C3B" w:rsidRDefault="00EE3FB5" w:rsidP="00155C3B">
      <w:pPr>
        <w:spacing w:after="0" w:line="240" w:lineRule="auto"/>
        <w:ind w:firstLine="142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   СЕЛЬСКОГО ПОСЕЛЕНИЯ</w:t>
      </w:r>
    </w:p>
    <w:p w:rsidR="00EE3FB5" w:rsidRPr="00155C3B" w:rsidRDefault="00EE3FB5" w:rsidP="00155C3B">
      <w:pPr>
        <w:spacing w:after="0" w:line="240" w:lineRule="auto"/>
        <w:ind w:firstLine="142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           СТАРЫЙ АМАНАК</w:t>
      </w:r>
    </w:p>
    <w:p w:rsidR="00EE3FB5" w:rsidRPr="00155C3B" w:rsidRDefault="00EE3FB5" w:rsidP="00155C3B">
      <w:pPr>
        <w:spacing w:after="0" w:line="240" w:lineRule="auto"/>
        <w:ind w:firstLine="142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МУНИЦИПАЛЬНОГО РАЙОНА</w:t>
      </w:r>
    </w:p>
    <w:p w:rsidR="00EE3FB5" w:rsidRPr="00155C3B" w:rsidRDefault="00EE3FB5" w:rsidP="00155C3B">
      <w:pPr>
        <w:spacing w:after="0" w:line="240" w:lineRule="auto"/>
        <w:ind w:firstLine="142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          ПОХВИСТНЕВСКИЙ</w:t>
      </w:r>
    </w:p>
    <w:p w:rsidR="00EE3FB5" w:rsidRPr="00155C3B" w:rsidRDefault="00EE3FB5" w:rsidP="00155C3B">
      <w:pPr>
        <w:spacing w:after="0" w:line="240" w:lineRule="auto"/>
        <w:ind w:firstLine="142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      САМАРСКОЙ ОБЛАСТИ </w:t>
      </w:r>
    </w:p>
    <w:p w:rsidR="00EE3FB5" w:rsidRPr="00155C3B" w:rsidRDefault="00EE3FB5" w:rsidP="00155C3B">
      <w:pPr>
        <w:spacing w:after="0" w:line="240" w:lineRule="auto"/>
        <w:ind w:firstLine="142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             четвертого созыва</w:t>
      </w:r>
    </w:p>
    <w:p w:rsidR="00EE3FB5" w:rsidRPr="00155C3B" w:rsidRDefault="00EE3FB5" w:rsidP="00155C3B">
      <w:pPr>
        <w:spacing w:after="0" w:line="240" w:lineRule="auto"/>
        <w:ind w:firstLine="142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                </w:t>
      </w:r>
    </w:p>
    <w:p w:rsidR="00EE3FB5" w:rsidRPr="00155C3B" w:rsidRDefault="00EE3FB5" w:rsidP="00155C3B">
      <w:pPr>
        <w:spacing w:after="0" w:line="240" w:lineRule="auto"/>
        <w:ind w:firstLine="142"/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b/>
          <w:bCs/>
          <w:sz w:val="18"/>
          <w:szCs w:val="18"/>
          <w:lang w:eastAsia="ru-RU"/>
        </w:rPr>
        <w:t xml:space="preserve">           РЕШЕНИЕ</w:t>
      </w:r>
    </w:p>
    <w:p w:rsidR="00EE3FB5" w:rsidRPr="00155C3B" w:rsidRDefault="00EE3FB5" w:rsidP="00155C3B">
      <w:pPr>
        <w:spacing w:after="0" w:line="240" w:lineRule="auto"/>
        <w:ind w:firstLine="142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          22.04.2024 № 136</w:t>
      </w:r>
    </w:p>
    <w:p w:rsidR="00EE3FB5" w:rsidRPr="00155C3B" w:rsidRDefault="00EE3FB5" w:rsidP="00155C3B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</w:t>
      </w:r>
    </w:p>
    <w:p w:rsidR="00EE3FB5" w:rsidRPr="00155C3B" w:rsidRDefault="00EE3FB5" w:rsidP="00155C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Положение «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муниципальном </w:t>
      </w:r>
    </w:p>
    <w:p w:rsidR="00EE3FB5" w:rsidRPr="00155C3B" w:rsidRDefault="00EE3FB5" w:rsidP="00155C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контроле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сфере благоустройства»</w:t>
      </w:r>
    </w:p>
    <w:p w:rsidR="00EE3FB5" w:rsidRPr="00155C3B" w:rsidRDefault="00EE3FB5" w:rsidP="00155C3B">
      <w:pPr>
        <w:spacing w:after="0" w:line="240" w:lineRule="auto"/>
        <w:rPr>
          <w:rFonts w:ascii="Times New Roman" w:eastAsia="Arial CYR" w:hAnsi="Times New Roman" w:cs="Times New Roman"/>
          <w:sz w:val="18"/>
          <w:szCs w:val="18"/>
          <w:lang w:eastAsia="ru-RU"/>
        </w:rPr>
      </w:pPr>
    </w:p>
    <w:p w:rsidR="00EE3FB5" w:rsidRPr="00155C3B" w:rsidRDefault="00EE3FB5" w:rsidP="0015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пунктом 20 части 1 статьи 14</w:t>
      </w: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55C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155C3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Самарской области,</w:t>
      </w:r>
      <w:r w:rsidRPr="00155C3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Собрание представителей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  <w:proofErr w:type="gramEnd"/>
    </w:p>
    <w:p w:rsidR="00EE3FB5" w:rsidRPr="00155C3B" w:rsidRDefault="00EE3FB5" w:rsidP="00155C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CYR" w:hAnsi="Times New Roman" w:cs="Times New Roman"/>
          <w:sz w:val="18"/>
          <w:szCs w:val="18"/>
          <w:lang w:eastAsia="ru-RU"/>
        </w:rPr>
      </w:pPr>
    </w:p>
    <w:p w:rsidR="00EE3FB5" w:rsidRPr="00155C3B" w:rsidRDefault="00EE3FB5" w:rsidP="00155C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CYR" w:hAnsi="Times New Roman" w:cs="Times New Roman"/>
          <w:b/>
          <w:sz w:val="18"/>
          <w:szCs w:val="18"/>
          <w:lang w:eastAsia="ru-RU"/>
        </w:rPr>
      </w:pPr>
      <w:r w:rsidRPr="00155C3B">
        <w:rPr>
          <w:rFonts w:ascii="Times New Roman" w:eastAsia="Arial CYR" w:hAnsi="Times New Roman" w:cs="Times New Roman"/>
          <w:b/>
          <w:sz w:val="18"/>
          <w:szCs w:val="18"/>
          <w:lang w:eastAsia="ru-RU"/>
        </w:rPr>
        <w:t>РЕШИЛО:</w:t>
      </w:r>
    </w:p>
    <w:p w:rsidR="00EE3FB5" w:rsidRPr="00155C3B" w:rsidRDefault="00EE3FB5" w:rsidP="00155C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CYR" w:hAnsi="Times New Roman" w:cs="Times New Roman"/>
          <w:b/>
          <w:sz w:val="18"/>
          <w:szCs w:val="18"/>
          <w:lang w:eastAsia="ru-RU"/>
        </w:rPr>
      </w:pPr>
    </w:p>
    <w:p w:rsidR="00EE3FB5" w:rsidRPr="00155C3B" w:rsidRDefault="00EE3FB5" w:rsidP="00155C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«Положение о муниципальном контроле в сфере благоустройства»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утвержденное Решением Собрания представителей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от 28.01.2022г. №54Б (далее - Положение) следующие изменения:</w:t>
      </w:r>
    </w:p>
    <w:p w:rsidR="00EE3FB5" w:rsidRPr="00155C3B" w:rsidRDefault="00EE3FB5" w:rsidP="00155C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3FB5" w:rsidRPr="00155C3B" w:rsidRDefault="00EE3FB5" w:rsidP="00155C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пункт 6.6 Положения изложить в следующей редакции:</w:t>
      </w:r>
    </w:p>
    <w:p w:rsidR="00EE3FB5" w:rsidRPr="00155C3B" w:rsidRDefault="00EE3FB5" w:rsidP="0015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«6.6.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EE3FB5" w:rsidRPr="00155C3B" w:rsidRDefault="00EE3FB5" w:rsidP="0015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 приостановлении исполнения обжалуемого решения контрольного (надзорного) органа;</w:t>
      </w:r>
    </w:p>
    <w:p w:rsidR="00EE3FB5" w:rsidRPr="00155C3B" w:rsidRDefault="00EE3FB5" w:rsidP="0015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об отказе в приостановлении исполнения обжалуемого решения контрольного (надзорного) органа</w:t>
      </w:r>
      <w:proofErr w:type="gram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.»</w:t>
      </w:r>
      <w:proofErr w:type="gramEnd"/>
    </w:p>
    <w:p w:rsidR="00EE3FB5" w:rsidRPr="00155C3B" w:rsidRDefault="00EE3FB5" w:rsidP="0015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E3FB5" w:rsidRPr="00155C3B" w:rsidRDefault="00EE3FB5" w:rsidP="0015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Решение в газете «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Аманакские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вести» и разместить на официальном сайте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в сети «Интернет». </w:t>
      </w:r>
    </w:p>
    <w:p w:rsidR="00EE3FB5" w:rsidRPr="00155C3B" w:rsidRDefault="00EE3FB5" w:rsidP="0015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CYR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EE3FB5" w:rsidRPr="00155C3B" w:rsidRDefault="00EE3FB5" w:rsidP="00155C3B">
      <w:pPr>
        <w:spacing w:after="0" w:line="240" w:lineRule="auto"/>
        <w:rPr>
          <w:rFonts w:ascii="Times New Roman" w:eastAsia="Arial CYR" w:hAnsi="Times New Roman" w:cs="Times New Roman"/>
          <w:sz w:val="18"/>
          <w:szCs w:val="18"/>
          <w:lang w:eastAsia="ru-RU"/>
        </w:rPr>
      </w:pPr>
    </w:p>
    <w:p w:rsidR="00EE3FB5" w:rsidRPr="00155C3B" w:rsidRDefault="00EE3FB5" w:rsidP="00155C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Собрания представителей</w:t>
      </w:r>
    </w:p>
    <w:p w:rsidR="00EE3FB5" w:rsidRPr="00155C3B" w:rsidRDefault="00EE3FB5" w:rsidP="00155C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EE3FB5" w:rsidRPr="00155C3B" w:rsidRDefault="00EE3FB5" w:rsidP="00155C3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/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MERGEFIELD "Название_района" </w:instrText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155C3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Похвистневский</w:t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</w:p>
    <w:p w:rsidR="00EE3FB5" w:rsidRPr="00155C3B" w:rsidRDefault="00EE3FB5" w:rsidP="00155C3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Самарской области                                                                                             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Е.П.Худанов</w:t>
      </w:r>
      <w:proofErr w:type="spellEnd"/>
    </w:p>
    <w:p w:rsidR="00EE3FB5" w:rsidRPr="00155C3B" w:rsidRDefault="00EE3FB5" w:rsidP="00155C3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3FB5" w:rsidRPr="00155C3B" w:rsidRDefault="00EE3FB5" w:rsidP="00155C3B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</w:p>
    <w:p w:rsidR="00EE3FB5" w:rsidRPr="00155C3B" w:rsidRDefault="00EE3FB5" w:rsidP="00155C3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/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MERGEFIELD "Название_района" </w:instrText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155C3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Похвистневский</w:t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E3FB5" w:rsidRPr="00155C3B" w:rsidRDefault="00EE3FB5" w:rsidP="00155C3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                                                                                              Т.А.Ефремова</w:t>
      </w:r>
    </w:p>
    <w:p w:rsidR="00EE3FB5" w:rsidRPr="00155C3B" w:rsidRDefault="00EE3FB5" w:rsidP="00155C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E3FB5" w:rsidRPr="00155C3B" w:rsidRDefault="00EE3FB5" w:rsidP="00155C3B">
      <w:pPr>
        <w:spacing w:line="240" w:lineRule="auto"/>
        <w:rPr>
          <w:sz w:val="18"/>
          <w:szCs w:val="18"/>
        </w:rPr>
      </w:pP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Российская Федерация                                                                                                            </w:t>
      </w: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Собрание представителей 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сельского поселения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Старый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</w:t>
      </w:r>
      <w:proofErr w:type="spellEnd"/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муниципального района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Самарской области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четвертого созыва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</w:t>
      </w: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РЕШЕНИЕ</w:t>
      </w:r>
    </w:p>
    <w:p w:rsidR="0051752B" w:rsidRPr="00155C3B" w:rsidRDefault="000B7F8E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</w:t>
      </w:r>
      <w:bookmarkStart w:id="0" w:name="_GoBack"/>
      <w:bookmarkEnd w:id="0"/>
      <w:r w:rsidR="0051752B"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26.04.2024 №137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Об исполнении бюджета сельского 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Самарской области за 2023 год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1752B" w:rsidRPr="00155C3B" w:rsidRDefault="0051752B" w:rsidP="00155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Рассмотрев проект решения «Об исполнении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за 2023 год», Заключение комиссии по местному самоуправлению по результатам публичных слушаний по отчету «Об исполнении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за 2023  год», Заключение Контрольно-счётной палаты на отчёт «Об исполнении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области за 2023 год»,  Собрание представителей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</w:t>
      </w:r>
    </w:p>
    <w:p w:rsidR="0051752B" w:rsidRPr="00155C3B" w:rsidRDefault="0051752B" w:rsidP="00155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1752B" w:rsidRPr="00155C3B" w:rsidRDefault="0051752B" w:rsidP="00155C3B">
      <w:pPr>
        <w:suppressAutoHyphens/>
        <w:spacing w:after="0" w:line="240" w:lineRule="auto"/>
        <w:jc w:val="center"/>
        <w:rPr>
          <w:rFonts w:ascii="Arial Black" w:eastAsia="Times New Roman" w:hAnsi="Arial Black" w:cs="Times New Roman"/>
          <w:b/>
          <w:sz w:val="18"/>
          <w:szCs w:val="18"/>
          <w:lang w:eastAsia="ar-SA"/>
        </w:rPr>
      </w:pPr>
      <w:r w:rsidRPr="00155C3B">
        <w:rPr>
          <w:rFonts w:ascii="Arial Black" w:eastAsia="Times New Roman" w:hAnsi="Arial Black" w:cs="Times New Roman"/>
          <w:b/>
          <w:sz w:val="18"/>
          <w:szCs w:val="18"/>
          <w:lang w:eastAsia="ar-SA"/>
        </w:rPr>
        <w:t>РЕШИЛО:</w:t>
      </w:r>
    </w:p>
    <w:p w:rsidR="0051752B" w:rsidRPr="00155C3B" w:rsidRDefault="0051752B" w:rsidP="00155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1. Утвердить годовой отчет об исполнении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за 2023 год (далее – годовой отчет), по доходам в сумме  15 052,0 тыс. рублей и расходам в сумме 15 966,6 тыс. рублей с превышением расходов над доходами в сумме 914,6 тыс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ублей.</w:t>
      </w:r>
    </w:p>
    <w:p w:rsidR="0051752B" w:rsidRPr="00155C3B" w:rsidRDefault="0051752B" w:rsidP="00155C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2. Утвердить следующие показатели годового отчета:</w:t>
      </w:r>
    </w:p>
    <w:p w:rsidR="0051752B" w:rsidRPr="00155C3B" w:rsidRDefault="0051752B" w:rsidP="00155C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доходы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за 2023  год по кодам классификации доходов бюджетов согласно приложению 1 к настоящему Решению;</w:t>
      </w:r>
      <w:proofErr w:type="gramEnd"/>
    </w:p>
    <w:p w:rsidR="0051752B" w:rsidRPr="00155C3B" w:rsidRDefault="0051752B" w:rsidP="00155C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расходы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за 2023  год по ведомственной структуре расходов бюджета района согласно приложению 2 к настоящему Решению;</w:t>
      </w:r>
    </w:p>
    <w:p w:rsidR="0051752B" w:rsidRPr="00155C3B" w:rsidRDefault="0051752B" w:rsidP="00155C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расходы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за 2023  год по разделам и подразделам классификации расходов бюджетов согласно приложению 3 к настоящему Решению; </w:t>
      </w:r>
    </w:p>
    <w:p w:rsidR="0051752B" w:rsidRPr="00155C3B" w:rsidRDefault="0051752B" w:rsidP="00155C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использование в 2023  году бюджетных ассигнований резервного фонда Администрации 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согласно приложению 4 к настоящему Решению;</w:t>
      </w:r>
    </w:p>
    <w:p w:rsidR="0051752B" w:rsidRPr="00155C3B" w:rsidRDefault="0051752B" w:rsidP="00155C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источники финансирования дефицита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в 2023  году по кодам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классификации источников финансирования дефицитов бюджетов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согласно приложению 5 к настоящему Решению;</w:t>
      </w:r>
    </w:p>
    <w:p w:rsidR="0051752B" w:rsidRPr="00155C3B" w:rsidRDefault="0051752B" w:rsidP="00155C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  Опубликовать настоящее Решение в газете «Вестник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». </w:t>
      </w:r>
    </w:p>
    <w:p w:rsidR="0051752B" w:rsidRPr="00155C3B" w:rsidRDefault="0051752B" w:rsidP="00155C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Настоящее Решение вступает в силу со дня его опубликования.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1752B" w:rsidRPr="00155C3B" w:rsidRDefault="0051752B" w:rsidP="00155C3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51752B" w:rsidRPr="00155C3B" w:rsidRDefault="00155C3B" w:rsidP="00155C3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51752B"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Председатель собрания представителей </w:t>
      </w:r>
    </w:p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Е.П.Худанов</w:t>
      </w:r>
      <w:proofErr w:type="spellEnd"/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1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за 2023 год»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Доходы бюджета 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Самарской области за 2023год по кодам классификации доходов бюджета </w:t>
      </w:r>
    </w:p>
    <w:tbl>
      <w:tblPr>
        <w:tblW w:w="1046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08"/>
        <w:gridCol w:w="2366"/>
        <w:gridCol w:w="5953"/>
        <w:gridCol w:w="1140"/>
      </w:tblGrid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Код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51752B" w:rsidRPr="00155C3B" w:rsidRDefault="0051752B" w:rsidP="00155C3B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нистра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51752B" w:rsidRPr="00155C3B" w:rsidRDefault="0051752B" w:rsidP="00155C3B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тора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источника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Исполнено,</w:t>
            </w:r>
          </w:p>
          <w:p w:rsidR="0051752B" w:rsidRPr="00155C3B" w:rsidRDefault="0051752B" w:rsidP="00155C3B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уб.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Управление Федеральной налоговой службы Российской Федерации по Самарской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9463,5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10102000010000110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1 421,5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10302000010000110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5 767,6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0503000010000110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720,4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106010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270,4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106060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475,2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106060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808,4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Администрация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Самарской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5588,5</w:t>
            </w:r>
          </w:p>
        </w:tc>
      </w:tr>
      <w:tr w:rsidR="0051752B" w:rsidRPr="00155C3B" w:rsidTr="0044787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11105025100000120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155C3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389,4</w:t>
            </w:r>
          </w:p>
        </w:tc>
      </w:tr>
      <w:tr w:rsidR="0051752B" w:rsidRPr="00155C3B" w:rsidTr="0044787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11105035100000120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учреждений)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152,4</w:t>
            </w:r>
          </w:p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1752B" w:rsidRPr="00155C3B" w:rsidTr="0044787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11302065100000130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30,2</w:t>
            </w:r>
          </w:p>
        </w:tc>
      </w:tr>
      <w:tr w:rsidR="0051752B" w:rsidRPr="00155C3B" w:rsidTr="0044787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11714030100000150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84,0</w:t>
            </w:r>
          </w:p>
        </w:tc>
      </w:tr>
      <w:tr w:rsidR="0051752B" w:rsidRPr="00155C3B" w:rsidTr="0044787C">
        <w:trPr>
          <w:trHeight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20216001100000150</w:t>
            </w:r>
          </w:p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820,5</w:t>
            </w:r>
          </w:p>
        </w:tc>
      </w:tr>
      <w:tr w:rsidR="0051752B" w:rsidRPr="00155C3B" w:rsidTr="0044787C">
        <w:trPr>
          <w:trHeight w:val="2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20220041100000150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2000,0</w:t>
            </w:r>
          </w:p>
        </w:tc>
      </w:tr>
      <w:tr w:rsidR="0051752B" w:rsidRPr="00155C3B" w:rsidTr="0044787C">
        <w:trPr>
          <w:trHeight w:val="2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20225599100000150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29,0</w:t>
            </w:r>
          </w:p>
        </w:tc>
      </w:tr>
      <w:tr w:rsidR="0051752B" w:rsidRPr="00155C3B" w:rsidTr="0044787C">
        <w:trPr>
          <w:trHeight w:val="2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202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9999100000150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Прочие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субсидии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бюджетам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поселений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440,3</w:t>
            </w:r>
          </w:p>
        </w:tc>
      </w:tr>
      <w:tr w:rsidR="0051752B" w:rsidRPr="00155C3B" w:rsidTr="0044787C">
        <w:trPr>
          <w:trHeight w:val="2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20235118100000150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115,0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20249999100000150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1527,7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 налоговых и неналоговых доходов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10119,5</w:t>
            </w:r>
          </w:p>
        </w:tc>
      </w:tr>
      <w:tr w:rsidR="0051752B" w:rsidRPr="00155C3B" w:rsidTr="004478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15052,0</w:t>
            </w:r>
          </w:p>
        </w:tc>
      </w:tr>
    </w:tbl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2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за 2023 год»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Расходы бюджета 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Самарской области по ведомственной структуре расходов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proofErr w:type="gram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бюджета</w:t>
      </w:r>
      <w:proofErr w:type="spellEnd"/>
      <w:proofErr w:type="gramEnd"/>
      <w:r w:rsidRPr="00155C3B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поселения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за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 xml:space="preserve"> 2023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год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                                                                                                         </w:t>
      </w:r>
    </w:p>
    <w:tbl>
      <w:tblPr>
        <w:tblW w:w="106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22"/>
        <w:gridCol w:w="425"/>
        <w:gridCol w:w="567"/>
        <w:gridCol w:w="1276"/>
        <w:gridCol w:w="567"/>
        <w:gridCol w:w="992"/>
        <w:gridCol w:w="1417"/>
      </w:tblGrid>
      <w:tr w:rsidR="0051752B" w:rsidRPr="00155C3B" w:rsidTr="0044787C">
        <w:tc>
          <w:tcPr>
            <w:tcW w:w="720" w:type="dxa"/>
            <w:vMerge w:val="restart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722" w:type="dxa"/>
            <w:vMerge w:val="restart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главного распорядителя средств бюджета поселения, раздела, подраздела, целевой статьи, подгруппы видов расходов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тыс. руб.</w:t>
            </w:r>
          </w:p>
        </w:tc>
      </w:tr>
      <w:tr w:rsidR="0051752B" w:rsidRPr="00155C3B" w:rsidTr="0044787C">
        <w:tc>
          <w:tcPr>
            <w:tcW w:w="720" w:type="dxa"/>
            <w:vMerge/>
          </w:tcPr>
          <w:p w:rsidR="0051752B" w:rsidRPr="00155C3B" w:rsidRDefault="0051752B" w:rsidP="0015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  <w:vMerge/>
          </w:tcPr>
          <w:p w:rsidR="0051752B" w:rsidRPr="00155C3B" w:rsidRDefault="0051752B" w:rsidP="0015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51752B" w:rsidRPr="00155C3B" w:rsidRDefault="0051752B" w:rsidP="0015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51752B" w:rsidRPr="00155C3B" w:rsidRDefault="0051752B" w:rsidP="0015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1752B" w:rsidRPr="00155C3B" w:rsidRDefault="0051752B" w:rsidP="0015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51752B" w:rsidRPr="00155C3B" w:rsidRDefault="0051752B" w:rsidP="0015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за счет средств безвозмездных поступлений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Самарской области 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15966,6</w:t>
            </w:r>
          </w:p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2584,3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977,8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977,8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977,8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977,8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  власти субъектов Российской Федерации, местных администраций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1826,3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1826,3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1826,3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994,1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650,1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180,1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270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505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информационного имущества в сельском поселении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65В0000000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65В0000000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«Оценка недвижимости, признания и регулирование отношений муниципальной собственности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65Е0000000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65Е0000000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315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115,0</w:t>
            </w:r>
          </w:p>
        </w:tc>
      </w:tr>
      <w:tr w:rsidR="0051752B" w:rsidRPr="00155C3B" w:rsidTr="0044787C">
        <w:trPr>
          <w:trHeight w:val="445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51752B" w:rsidRPr="00155C3B" w:rsidTr="0044787C">
        <w:trPr>
          <w:trHeight w:val="445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51752B" w:rsidRPr="00155C3B" w:rsidTr="0044787C">
        <w:trPr>
          <w:trHeight w:val="445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</w:tc>
      </w:tr>
      <w:tr w:rsidR="0051752B" w:rsidRPr="00155C3B" w:rsidTr="0044787C">
        <w:trPr>
          <w:trHeight w:val="445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Защита населения и территории от ЧС природного и техногенного характера, пожарная безопасность 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«Обеспечение первичных мер пожарной безопасности в границах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6530000000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6530000000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«Предупреждение и ликвидация последствий чрезвычайных ситуаций и стихийных бедствий на территории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«Создание условий для деятельности добровольных формирований населения по охране общественного порядка на территории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"Мероприятия в области национальной экономики на территории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655000000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655000000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8650,5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8650,5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8650,5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8632,8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«Комплексное развитие систем коммунальной инфраструктуры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1998,8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440,3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1988,8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440,3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«Комплексное благоустройство территории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771,8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«Энергосбережение и повышение энергетической эффективности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«Реализация мероприятий по поддержке общественного проекта развития территории сельского поселения 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65А0000000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440,3</w:t>
            </w: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65А0000000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440,3</w:t>
            </w:r>
          </w:p>
        </w:tc>
      </w:tr>
      <w:tr w:rsidR="0051752B" w:rsidRPr="00155C3B" w:rsidTr="0044787C">
        <w:trPr>
          <w:trHeight w:val="133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1345,0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33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33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культуры на территории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1345,0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635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98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98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98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98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98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физической культуры и спорта на территории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98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98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6560000000</w:t>
            </w: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52B" w:rsidRPr="00155C3B" w:rsidTr="0044787C">
        <w:trPr>
          <w:trHeight w:val="198"/>
        </w:trPr>
        <w:tc>
          <w:tcPr>
            <w:tcW w:w="720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</w:tcPr>
          <w:p w:rsidR="0051752B" w:rsidRPr="00155C3B" w:rsidRDefault="0051752B" w:rsidP="0015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15966,6</w:t>
            </w:r>
          </w:p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1752B" w:rsidRPr="00155C3B" w:rsidRDefault="0051752B" w:rsidP="0015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2584,3</w:t>
            </w:r>
          </w:p>
        </w:tc>
      </w:tr>
    </w:tbl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3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за 2023 год»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Расходы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Самарской области за 2023 год  по разделам и подразделам классификации расходов бюджета </w:t>
      </w:r>
    </w:p>
    <w:tbl>
      <w:tblPr>
        <w:tblW w:w="104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52"/>
        <w:gridCol w:w="840"/>
        <w:gridCol w:w="1926"/>
        <w:gridCol w:w="1985"/>
      </w:tblGrid>
      <w:tr w:rsidR="0051752B" w:rsidRPr="00155C3B" w:rsidTr="0044787C">
        <w:tc>
          <w:tcPr>
            <w:tcW w:w="4800" w:type="dxa"/>
            <w:vMerge w:val="restart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главного распорядителя средств бюджета поселения (направления расходов)</w:t>
            </w:r>
          </w:p>
        </w:tc>
        <w:tc>
          <w:tcPr>
            <w:tcW w:w="852" w:type="dxa"/>
            <w:vMerge w:val="restart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аздел</w:t>
            </w:r>
            <w:proofErr w:type="spellEnd"/>
          </w:p>
        </w:tc>
        <w:tc>
          <w:tcPr>
            <w:tcW w:w="840" w:type="dxa"/>
            <w:vMerge w:val="restart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одраздел</w:t>
            </w:r>
            <w:proofErr w:type="spellEnd"/>
          </w:p>
        </w:tc>
        <w:tc>
          <w:tcPr>
            <w:tcW w:w="3911" w:type="dxa"/>
            <w:gridSpan w:val="2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Исполнено</w:t>
            </w:r>
          </w:p>
        </w:tc>
      </w:tr>
      <w:tr w:rsidR="0051752B" w:rsidRPr="00155C3B" w:rsidTr="0044787C">
        <w:tc>
          <w:tcPr>
            <w:tcW w:w="4800" w:type="dxa"/>
            <w:vMerge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52" w:type="dxa"/>
            <w:vMerge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40" w:type="dxa"/>
            <w:vMerge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всего</w:t>
            </w:r>
            <w:proofErr w:type="spellEnd"/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за счет средств областного и федерального бюджетов</w:t>
            </w:r>
          </w:p>
        </w:tc>
      </w:tr>
      <w:tr w:rsidR="0051752B" w:rsidRPr="00155C3B" w:rsidTr="0044787C">
        <w:trPr>
          <w:trHeight w:val="435"/>
        </w:trPr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Администрация сельского поселения 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Старый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Аманак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муниципального района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Похвистневский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Самаркой области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15966,6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2584,3</w:t>
            </w: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Общегосударственные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вопросы</w:t>
            </w:r>
            <w:proofErr w:type="spellEnd"/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2867,5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977,8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   власти субъектов Российской Федерации, местных администраций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1826,3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63,4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Национальная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оборона</w:t>
            </w:r>
            <w:proofErr w:type="spellEnd"/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115,0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115,0</w:t>
            </w: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Мобилизационная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и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вневойсковая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подготовка</w:t>
            </w:r>
            <w:proofErr w:type="spellEnd"/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03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115,0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115,0</w:t>
            </w: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242,2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173,0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69,2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Национальная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экономика</w:t>
            </w:r>
            <w:proofErr w:type="spellEnd"/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8679,8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2029,0</w:t>
            </w: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Сельское хозяйство и рыболовство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29,3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29,0</w:t>
            </w: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Дорожное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хозяйство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дорожные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фонды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09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8650,5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2000,0</w:t>
            </w: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Жилищно-коммунальное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2603,3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440,3</w:t>
            </w: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Коммунальное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604,5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Благоустройство</w:t>
            </w:r>
            <w:proofErr w:type="spellEnd"/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03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1998,8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440,3</w:t>
            </w:r>
          </w:p>
        </w:tc>
      </w:tr>
      <w:tr w:rsidR="0051752B" w:rsidRPr="00155C3B" w:rsidTr="0044787C">
        <w:trPr>
          <w:trHeight w:val="287"/>
        </w:trPr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КУЛЬТУРА, КИНЕМАТОГРАФИЯ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08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1345,0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Культура</w:t>
            </w:r>
            <w:proofErr w:type="spellEnd"/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08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1345,0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110,3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110,3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ФИЗИЧЕСКАЯ КУЛЬТУРА И СПОРТ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11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3,5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</w:tr>
      <w:tr w:rsidR="0051752B" w:rsidRPr="00155C3B" w:rsidTr="0044787C">
        <w:tc>
          <w:tcPr>
            <w:tcW w:w="480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Физическая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культура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852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</w:t>
            </w:r>
          </w:p>
        </w:tc>
        <w:tc>
          <w:tcPr>
            <w:tcW w:w="840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192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3,5</w:t>
            </w:r>
          </w:p>
        </w:tc>
        <w:tc>
          <w:tcPr>
            <w:tcW w:w="1985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51752B" w:rsidRPr="00155C3B" w:rsidRDefault="0051752B" w:rsidP="00155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4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Самарской области за 2023 год»</w:t>
      </w:r>
    </w:p>
    <w:p w:rsidR="0051752B" w:rsidRPr="00155C3B" w:rsidRDefault="0051752B" w:rsidP="00155C3B">
      <w:pPr>
        <w:tabs>
          <w:tab w:val="left" w:pos="4570"/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51752B" w:rsidRPr="00155C3B" w:rsidRDefault="0051752B" w:rsidP="00155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Использование в 2023 году бюджетных ассигнований резервного фонда Администрации 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84"/>
        <w:gridCol w:w="815"/>
        <w:gridCol w:w="681"/>
        <w:gridCol w:w="815"/>
        <w:gridCol w:w="678"/>
        <w:gridCol w:w="1351"/>
        <w:gridCol w:w="1466"/>
      </w:tblGrid>
      <w:tr w:rsidR="0051752B" w:rsidRPr="00155C3B" w:rsidTr="0021250F">
        <w:tc>
          <w:tcPr>
            <w:tcW w:w="1658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распорядителя бюджетных</w:t>
            </w:r>
          </w:p>
        </w:tc>
        <w:tc>
          <w:tcPr>
            <w:tcW w:w="2457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954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57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896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57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  </w:t>
            </w:r>
          </w:p>
        </w:tc>
        <w:tc>
          <w:tcPr>
            <w:tcW w:w="1444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 (тыс. рублей) </w:t>
            </w:r>
          </w:p>
        </w:tc>
        <w:tc>
          <w:tcPr>
            <w:tcW w:w="1497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за счёт безвозмездных поступлений (тыс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ублей)</w:t>
            </w:r>
          </w:p>
        </w:tc>
      </w:tr>
      <w:tr w:rsidR="0051752B" w:rsidRPr="00155C3B" w:rsidTr="0021250F">
        <w:tc>
          <w:tcPr>
            <w:tcW w:w="1658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7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9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57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44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7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1752B" w:rsidRPr="00155C3B" w:rsidTr="0021250F">
        <w:tc>
          <w:tcPr>
            <w:tcW w:w="1658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7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57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6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57" w:type="dxa"/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7" w:type="dxa"/>
          </w:tcPr>
          <w:p w:rsidR="0051752B" w:rsidRPr="00155C3B" w:rsidRDefault="0051752B" w:rsidP="0015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5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Решению «Об исполнении бюджета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сельского поселения </w:t>
      </w:r>
      <w:proofErr w:type="gram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Старый</w:t>
      </w:r>
      <w:proofErr w:type="gram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>Самарской области за 2023 год»</w:t>
      </w: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Источники финансирования дефицита бюджета сельского поселения Старый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Самарской области в 2023 году по кодам </w:t>
      </w:r>
      <w:proofErr w:type="gram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классификации источников финансирования дефицитов бюджетов</w:t>
      </w:r>
      <w:proofErr w:type="gramEnd"/>
    </w:p>
    <w:tbl>
      <w:tblPr>
        <w:tblW w:w="1027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40"/>
        <w:gridCol w:w="2671"/>
        <w:gridCol w:w="4349"/>
        <w:gridCol w:w="1810"/>
      </w:tblGrid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Код администратора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Код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кода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5580"/>
              </w:tabs>
              <w:suppressAutoHyphens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Исполнено,</w:t>
            </w:r>
          </w:p>
          <w:p w:rsidR="0051752B" w:rsidRPr="00155C3B" w:rsidRDefault="0051752B" w:rsidP="00155C3B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уб.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914,6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Увеличение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остатков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средств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бюджет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-15052,0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-15052,0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000000510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денежных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-15052,0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0000510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денежных средств бюджета сельского поселения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-15052,0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Уменьшение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остатков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средств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бюджет</w:t>
            </w:r>
            <w:proofErr w:type="spellEnd"/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15966,6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15966,6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006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15966,6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15966,6</w:t>
            </w:r>
          </w:p>
        </w:tc>
      </w:tr>
      <w:tr w:rsidR="0051752B" w:rsidRPr="00155C3B" w:rsidTr="0044787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000000000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52B" w:rsidRPr="00155C3B" w:rsidRDefault="0051752B" w:rsidP="00155C3B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источников финансирования дефицита бюджета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B" w:rsidRPr="00155C3B" w:rsidRDefault="0051752B" w:rsidP="0015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5C3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914,6</w:t>
            </w:r>
          </w:p>
        </w:tc>
      </w:tr>
    </w:tbl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</w:pPr>
    </w:p>
    <w:p w:rsidR="0051752B" w:rsidRPr="00155C3B" w:rsidRDefault="0051752B" w:rsidP="00155C3B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Пояснительная записка к Отчету</w:t>
      </w:r>
    </w:p>
    <w:p w:rsidR="0051752B" w:rsidRPr="00155C3B" w:rsidRDefault="0051752B" w:rsidP="00155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об исполнении бюджета сельского поселения  Старый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Аманак</w:t>
      </w:r>
      <w:proofErr w:type="spellEnd"/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муниципального района </w:t>
      </w:r>
      <w:proofErr w:type="spellStart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Самарской области</w:t>
      </w:r>
      <w:r w:rsidRPr="00155C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155C3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за 2023 год</w:t>
      </w:r>
    </w:p>
    <w:p w:rsidR="0051752B" w:rsidRPr="00155C3B" w:rsidRDefault="0051752B" w:rsidP="00155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Overlap w:val="never"/>
        <w:tblW w:w="104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51752B" w:rsidRPr="00155C3B" w:rsidTr="0021250F">
        <w:trPr>
          <w:trHeight w:val="322"/>
        </w:trPr>
        <w:tc>
          <w:tcPr>
            <w:tcW w:w="10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52B" w:rsidRPr="00155C3B" w:rsidRDefault="0051752B" w:rsidP="0015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1752B" w:rsidRPr="00155C3B" w:rsidTr="0021250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Доходы бюджета сельского поселения Старый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муниципального района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Похвистневский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за</w:t>
                  </w:r>
                  <w:r w:rsidRPr="00155C3B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 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2023 год составили 15 052,0 тыс. руб., в т. ч. поступления налоговых и неналоговых доходов составляют 10 119,5 тыс. руб. (удельный вес –67,2%), безвозмездные поступления составляют 4 932,5 тыс. руб. (удельный вес –32,8%). В целом доходы бюджета поселения по сравнению с 2022 годом увеличились на 1380,1 тыс. руб. (2022г. – 13 671,9 тыс. руб.)</w:t>
                  </w: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Безвозмездные поступления относительно 2022 года (2022г. – 4 169,3 тыс. руб.) увеличились на 763,2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 Также наблюдается увеличение объема налоговых и неналоговых  доходов бюджета поселения по сравнению с прошлым годом (2022г. – 9502,6 тыс.руб.) на 616,9 тыс. руб.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>       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Фактическое исполнение налога на доходы физических лиц в 2023 году составило 1 421,5 тыс. руб. Удельный вес данного источника в общей сумме налоговых и неналоговых доходов составляет 14,1 %. По сравнению с прошлым годом налога поступило на 216,8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 больше (2022 г.- 1 204,7 тыс.руб.)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Налоги на товары на территории РФ (доходы от уплаты акцизов на дизельное топливо, на моторные масла, на 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автомобильный, прямогонный бензин), составили 5 767,6 тыс. руб. Удельный вес данного источника в общей сумме налоговых и неналоговых доходов составляет 57,0 %. По сравнению с прошлым годом налога поступило на 113,6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 больше (2022 г.- 5654,0 тыс.руб.)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Удельный вес единого сельскохозяйственного налога составляет 7,1%, исполнение составило 720,4 тыс. руб. По сравнению с прошлым годом  (2022г. – 47,0 тыс. руб.) ЕСХН поступило на 673,4 тыс. руб. больше.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Налог на имущество физических лиц в 2023 году составил 270,4 тыс. руб. что по сравнению с прошлым годом увеличилось на 166,1 тыс. руб. (2022 г. –104,3 тыс. руб.). Удельный вес данного источника в общей сумме налоговых и неналоговых доходов составляет 2,7%. Проведена работа по сокращению недоимки по данному налогу в ходе выездных комиссий по улучшению платежной дисциплины поселения.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         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Земельный налог с организаций  в 2023 году составил 475,2 тыс. руб., удельный вес данного источника в общей сумме налоговых и неналоговых доходов составляет 4,7%. Плановые показатели выполнены на 95,6 % (план 497,0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уб., факт 475,2 тыс.руб.). По сравнению с прошлым годом поступления сократились на 523,3 тыс. руб. (2022 г. – 998,5 тыс. руб.) Отслеживается постепенное уменьшение задолженности прошлых лет.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Земельный налог с физических лиц в 2023 году составил 808,4 тыс. руб., удельный вес данного источника в общей сумме налоговых и неналоговых доходов составляет 8,0 %. Плановые показатели выполнены на 103,2 % (план 783,0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уб., факт 808,4 тыс.руб.). По сравнению с прошлым годом наблюдается уменьшение на 1,0 тыс. руб. (2022 г. –809,4 тыс. руб.). 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Доходы от сдачи в аренду имущества, находящегося в оперативном управлении поселений и созданных ими учреждений (за исключением имущества автономных учреждений), составили 152,4 тыс. руб., удельный вес 1,5%. По сравнению с прошлым годом (2022г. – 161,0 тыс. руб.) фактические поступления уменьшилось на  8,6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составили 389,4</w:t>
                  </w: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уб., удельный вес 3,8%.</w:t>
                  </w:r>
                  <w:r w:rsidRPr="00155C3B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 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Ранее были заключены: договор аренды  земли от 12.02.2018г.  с  ИП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Шахваловым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А.В. (долгосрочный на 25лет-1 950 000 кв.м.) в 2020 г. был</w:t>
                  </w: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заключен договор аренды земли  от 03.09.2020г. с  ИП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Шахваловым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А.В.(долгосрочный на 25лет-3 900 000 кв.м.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)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В 2022г. заключен договор аренды земл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 ООО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«Орловка-АИЦ» на 5 лет с 01.11.2022г. по 01.11.2026г.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Доходы, поступающие в порядке возмещения расходов, понесенных в связи с эксплуатацией имущества сельских поселений (договор с МАУ «Редакция газеты») составили 30,2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 удельный вес 0,3%.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   Средства самообложения граждан, зачисляемые в бюджет сельского поселения, и направляемые на благоустройство родника «Лысяков родник»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.С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тарый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составили  84,0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тыс.руб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., удельный вес 0,8%.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Безвозмездные поступления составили 4932,5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 и поступили в виде: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- дотации бюджетам поселений на выравнивание уровня бюджетной обеспеченности  - 820,5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    - субсидии бюджета сельских поселений на строительство, ремонт и содержание автомобильных дорог общего пользования – 2000,0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уб.;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- прочие субсидии бюджетам поселений в бюджет сельского поселения Староганькино поступило 440,3 тыс. руб.- Благоустройство родника «Лысяков родник»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с.С.Аманак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>      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субвенции бюджетам поселений на осуществление первичного воинского учета  на территориях, где отсутствуют военные комиссариаты  –115,0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     - прочие межбюджетные трансферты, передаваемые бюджетам сельских поселений -1 527,7 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- субсидии бюджетам сельских поселений на подготовку проектов межевания земельных участков и на проведение кадастровых работ - 29,0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Исполнение расходной части бюджета сельского поселения Старый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муниципального района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Похвистневский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за 2023 год составило 15 966,6 тыс. руб., что составляет 85,7% годовому плану (годовой план 18 624,2 тыс. руб.). В целом расходы бюджета по сравнению с 2022 годом увеличились на 4 369,4 тыс. руб. (2022г. – 11 597,2 тыс. руб.).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На «Общегосударственные вопросы» в 2023 году было фактически направлено 2 867,5 тыс. руб., что больше по сравнению с 2022 годом на 167,5 тыс. руб. (2022г. – 2 700,0 тыс. руб.). Удельный вес в расходах бюджета составляет 17,9 %.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В подразделе «Мобилизационная и вневойсковая подготовка» исполнение составило 115,0 тыс. руб., что увеличилось по сравнению с 2022 годом на 14,3 тыс. руб. (2022г. – 100,7 тыс. руб.).</w:t>
                  </w: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  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Удельный вес в расходах бюджета составляет 0,7 %.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В подразделе «Защита населения и территории от чрезвычайных ситуаций природного и техногенного характера, гражданская оборона»» по плану было предусмотрен 173,0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уб., исполнение составило 173,0 тыс.руб., что составляет 100 % к годовому плану. Удельный вес в расходах бюджета составляет 1,1 %. (Проведены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дератизационные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мероприятия против мышевидных грызунов -28,5</w:t>
                  </w: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уб. и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акарицидная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обработка от клещей на территории сёл 29,0 тыс.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.+оплата транспортного налога по пожарной машине 7,5 тыс.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руб.+аренда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гаража под пожарную машину 24,0 тыс.руб. руб.+ ОСАГО 8,2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тыс.руб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+ уплата штрафа по предписанию 75,0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тыс.руб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.+ Аккумулятор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Security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Force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SF1207 12В 7А/ч - 0,8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уб.).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В подразделе «Другие вопросы в области национальной безопасности и правоохранительной деятельности» по плану было предусмотрен 69,2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уб., исполнение составило 69,2 тыс.руб., что составляет 100 % к годовому плану. Удельный вес в расходах бюджета составляет 0,4 %. (выплачено материальное вознаграждение ДНД и приобретены жилеты с логотипом ДНД).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На подраздел «Сельское хозяйство и рыболовство» фактически израсходовано 29,3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уб.(подготовка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образований, и проведение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назначения). Удельный вес в расходах бюджета составляет 0,2 %. 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На раздел «Дорожное хозяйство (дорожные фонды)» фактически израсходовано 8 650,5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уб., что больше по сравнению с 2022 годом на 3793,7 тыс. руб. (2022г. – 4 856,8 тыс. руб.), в том числе: </w:t>
                  </w:r>
                </w:p>
                <w:p w:rsidR="0051752B" w:rsidRPr="00155C3B" w:rsidRDefault="0051752B" w:rsidP="00155C3B">
                  <w:pPr>
                    <w:suppressAutoHyphens/>
                    <w:spacing w:after="0" w:line="240" w:lineRule="auto"/>
                    <w:ind w:right="-17" w:firstLine="539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ремонт автомобильной дороги местного значения по ул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.З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еленая от дома №108 до ул. Мичурина  протяженностью 100м, по ул.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Шулайкина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от дома №77  протяженностью 295 м ( устройство тротуара) в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с.Старый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на сумму 2 053,4 тыс.руб.( 2000,0 областной бюджет + 53,4 бюджет поселения);</w:t>
                  </w:r>
                </w:p>
                <w:p w:rsidR="0051752B" w:rsidRPr="00155C3B" w:rsidRDefault="0051752B" w:rsidP="00155C3B">
                  <w:pPr>
                    <w:suppressAutoHyphens/>
                    <w:spacing w:after="0" w:line="240" w:lineRule="auto"/>
                    <w:ind w:right="-17" w:firstLine="539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-выполнение работ по ремонту автомобильных дорог  общего  пользования  местного  значения  в сельском поселении Старый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муниципального района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Похвистневский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Самарской области на сумму 4 480,1 тыс. руб. за счет МДФ;</w:t>
                  </w:r>
                  <w:proofErr w:type="gramEnd"/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 -отсыпка соляной смесью - 35,0 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 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       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обкос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обочин дорожного полотна  - 95,8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-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грейдирование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дорог   - 129,9 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- очистка дорог от снега   - 682,0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- уличное освещение   - 1069,4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- приобретение ламп - 31,3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- схемы по асфальтированным дорогам - 55,9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-  уплата земельного налога -  17,7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Удельный вес в расходах бюджета составляет 54,2 %.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На «Коммунальное хозяйство» (удельный вес 3,8%) было израсходовано 604,5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,в том числе: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1.Режимно-наладочные испытания тепловой сети - 63,0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2.Испытание электрооборудования котельных -43,0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 Техническая диагностика котлов в котельных  -69,9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4.Ремонт неисправных гидрантов, монтаж и приобретение новых – 70,0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5.Ремонт котельной сельских поселений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м.р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.П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охвистневский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-   119,6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6.Разработка программы комплексного развития коммунальной инфраструктуры                     27,0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 Экспертиза промышленной безопасности ГРУ, ШГРП ГРПШ-128,2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8.Техническое диагностирование газогорелочных устройств в котельных -   55,5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9.Проведение поверки пожарных гидрантов – 12,8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10.Ремонт неисправных гидрантов, монтаж и приобретение новых  -10,0тыс.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11.Уплата налогов, сборов и иных платежей под объектами ЖКХ  -5,5 тыс.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На «Благоустройство» (удельный вес 12,5%) было израсходовано всего 1 998,8  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уб., в том числе: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-Благоустройство населенных пунктов-18,9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-Услуги по уборке территорий и помещений-127,8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-Приобретение материальных запасов для триммера-10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-Уплата транспортного налога-48,8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-Содержание водителей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ab/>
                    <w:t>бюджет поселения- 416,0тыс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-Вывоз ТКО с территории кладбищ-17,9 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-Проведение экспертизы по КРС-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ab/>
                    <w:t>10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-Услуги по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обкосу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травы и уборке снега -122,4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-Уличное освещение поселения-640,0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 </w:t>
                  </w:r>
                </w:p>
                <w:p w:rsidR="0051752B" w:rsidRPr="00155C3B" w:rsidRDefault="0051752B" w:rsidP="00155C3B">
                  <w:pPr>
                    <w:suppressAutoHyphens/>
                    <w:spacing w:after="0" w:line="240" w:lineRule="auto"/>
                    <w:ind w:right="-17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-Работы по объекту: "Лысяков родник" - благоустройство родника по ул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.П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риречной в селе Старый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сумму 587 ,0 руб.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.( 440,3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обл.бюджет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+ 146,7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бюдж.поселения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51752B" w:rsidRPr="00155C3B" w:rsidRDefault="0051752B" w:rsidP="00155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  <w:p w:rsidR="0051752B" w:rsidRPr="00155C3B" w:rsidRDefault="0051752B" w:rsidP="00155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разделу «Культура» исполнение составило 1345,0 тыс. руб., что больше по сравнению с 2022 годом на 550,1 тыс. руб. (2022г. –794,9 тыс. руб.), вес  в расходах бюджета составил 8,4 %.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В разделе «Социальная политика» исполнение составило 110,3 тыс. руб., что больше по сравнению с 2022 годом на 29,3 тыс. руб. (2022г. –81,0 тыс. руб.). Увеличение затрат на пенсионное обеспечение. Удельный вес в расходах бюджета составляет 0,7%.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По разделу  «Физкультура и спорт» исполнение составило 3,5 тыс. руб., что меньше по сравнению с 2022 годом на 28,6 тыс. руб. (2021г. – 32,1 тыс. руб.), в связи с уплатой земельного налога по спортивным площадкам.  Удельный вес в расходах бюджета составила 0,1%.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Анализ исполнения бюджета сельского поселения Старый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муниципального района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Похвистневский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Самарской области за 2023 год в разрезе видов расходов: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Расходы на выплаты персоналу в целях обеспечения выполнения функций муниципальными органами, казенными учреждениями (КВР 100) исполнено на 2078,7 тыс. руб. (2022 год – 1 800,6 тыс. руб.). Увеличение расходов в 2023 году на 278,1 тыс. руб. произведено за счет увеличения МРОТ с 01.01.2023 до 16242 руб.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Социальное обеспечение и иные выплаты населению (КВР 300) исполнено на 110,3 тыс. руб. (2022 года 81,0тыс. руб.) По сравнению с 2022 годом расходов произведено больше на 29,3 тыс. руб.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Уплата налогов, сборов и иных платежей (КВР 850) составило 166,4  тыс. руб., что меньше расходов 2023 года на 365,3 тыс. руб. (2022 год – 531,7 тыс. руб.). 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Закупка энергетических ресурсов (КВР 247) составила 585,9 тыс. руб., что больше   расходов 2022 года на 32,4 тыс. руб. (2022 год -553,5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уб.)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Закупка товаров, работ и услуг для обеспечения муниципальных нужд (КВР 200, за исключением КВР 247)  составила 11 500,2 тыс. руб. По сравнению с предшествующим 2022 годом расходов произведено на 3 838,9 тыс. руб. больше (2022 год – 7 661,3 тыс. руб.).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Иные межбюджетные трансферты (КВР 540) составило 1 525,1 тыс. руб., что  больше расходов 2022 года на 556,0 тыс. руб. (2022 год – 969,1 тыс. руб.).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В 2023 году дефицит бюджета сельского поселения Старый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составил 914,6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ублей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51752B" w:rsidRPr="00155C3B" w:rsidRDefault="0051752B" w:rsidP="00155C3B">
                  <w:pPr>
                    <w:spacing w:before="190" w:after="19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     </w:t>
                  </w:r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сельском поселении в 2023 году реализована 1 муниципальная программа на сумму 15 966,6 тыс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ублей. Доля расходов бюджета сельского поселения </w:t>
                  </w:r>
                  <w:proofErr w:type="gram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Старый</w:t>
                  </w:r>
                  <w:proofErr w:type="gramEnd"/>
                  <w:r w:rsidRPr="00155C3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Аманак</w:t>
                  </w:r>
                  <w:proofErr w:type="spellEnd"/>
                  <w:r w:rsidRPr="00155C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формируемых в рамках программ, в общем объёме расходов поселения составила в 2023 году 100 %.</w:t>
                  </w:r>
                </w:p>
              </w:tc>
            </w:tr>
          </w:tbl>
          <w:p w:rsidR="0051752B" w:rsidRPr="00155C3B" w:rsidRDefault="0051752B" w:rsidP="0015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55C3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</w:tr>
    </w:tbl>
    <w:p w:rsidR="0051752B" w:rsidRPr="00155C3B" w:rsidRDefault="0051752B" w:rsidP="00155C3B">
      <w:pPr>
        <w:spacing w:line="240" w:lineRule="auto"/>
        <w:rPr>
          <w:sz w:val="18"/>
          <w:szCs w:val="18"/>
        </w:rPr>
      </w:pPr>
    </w:p>
    <w:p w:rsidR="00ED3E9A" w:rsidRPr="00155C3B" w:rsidRDefault="00ED3E9A" w:rsidP="00155C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 xml:space="preserve">В </w:t>
      </w:r>
      <w:proofErr w:type="spellStart"/>
      <w:r w:rsidRPr="00155C3B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 xml:space="preserve"> районный суд передано уголовное дело по факту кражи денежных сре</w:t>
      </w:r>
      <w:proofErr w:type="gramStart"/>
      <w:r w:rsidRPr="00155C3B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дств с б</w:t>
      </w:r>
      <w:proofErr w:type="gramEnd"/>
      <w:r w:rsidRPr="00155C3B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анковского счета</w:t>
      </w:r>
    </w:p>
    <w:p w:rsidR="00ED3E9A" w:rsidRPr="00155C3B" w:rsidRDefault="00ED3E9A" w:rsidP="00155C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дежурную часть МО МВД России </w:t>
      </w:r>
      <w:proofErr w:type="spell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поступило заявление от гражданина 1999 г.р., о том, что с банковской карты похитили денежные средства в размере 101 200 рублей.</w:t>
      </w:r>
    </w:p>
    <w:p w:rsidR="00ED3E9A" w:rsidRPr="00155C3B" w:rsidRDefault="00ED3E9A" w:rsidP="00155C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Заявитель пояснил, что </w:t>
      </w:r>
      <w:proofErr w:type="gram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банковскую карту, оформленную на третье лицо он приобрел</w:t>
      </w:r>
      <w:proofErr w:type="gramEnd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 знакомого за 5000 рублей на 3 месяца. Спустя некоторое время в мобильном приложении банка мужчина обнаружил, что карта заблокирована и обратился к продавцу для получения доступа. Знакомый пообещал обратиться в банк, после чего перестал отвечать на звонки. Тогда заявитель нашел номер телефона держателя пластика, которой оказалась несовершеннолетней, и ей были не известны произведённые операции. После чего мужчина обратился в полицию.</w:t>
      </w:r>
    </w:p>
    <w:p w:rsidR="00ED3E9A" w:rsidRPr="00155C3B" w:rsidRDefault="00ED3E9A" w:rsidP="00155C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Сотрудники полиции выехали по адресу проживания предполагаемого подозреваемого 2004 года рождения и доставили его в отдел для выяснения обстоятельств. В ходе допроса молодой человек полностью признал свою вину и пояснил, что взял банковскую карту во временное пользование у своей несовершеннолетней сестры, а позже узнал, что можно </w:t>
      </w: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подзаработать, перепродавая банковские карты. С помощью сети Интернет нашел человека, как оказалось ранее знакомого, готового купить карту. После блокировки карты у злоумышленника возник преступный умысел похитить принадлежащие заявителю денежные средства, и </w:t>
      </w:r>
      <w:proofErr w:type="gram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</w:t>
      </w:r>
      <w:proofErr w:type="gramEnd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введя в заблуждение держателя карты, а именно несовершеннолетнюю сестру обратился в банк, где карту </w:t>
      </w:r>
      <w:proofErr w:type="spell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перевыпустили</w:t>
      </w:r>
      <w:proofErr w:type="spellEnd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однако сотрудник отказался выдавать деньги несовершеннолетнему без законных представителей. После чего проверив счет в </w:t>
      </w:r>
      <w:proofErr w:type="gram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банкомате</w:t>
      </w:r>
      <w:proofErr w:type="gramEnd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молодой человек понял, что на счете находится крупная сумма денег и за несколько операций снял денежные средства с карты в размере 95 000 рублей. </w:t>
      </w:r>
      <w:proofErr w:type="gram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последствии</w:t>
      </w:r>
      <w:proofErr w:type="gramEnd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банк заблокировал карту и оставшуюся сумму в размере 6200 рублей злоумышленник успешно обналичил в кассе,  введя в заблуждение сестру и мать. Общая сумма </w:t>
      </w:r>
      <w:proofErr w:type="gram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похищенного</w:t>
      </w:r>
      <w:proofErr w:type="gramEnd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составила 101 200 рублей. Деньги молодой человек потратил на собственные нужды.  </w:t>
      </w:r>
    </w:p>
    <w:p w:rsidR="00ED3E9A" w:rsidRPr="00155C3B" w:rsidRDefault="00ED3E9A" w:rsidP="00155C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Следственным отделом МО МВД России «</w:t>
      </w:r>
      <w:proofErr w:type="spell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возбуждено уголовное дело в отношении местного жителя по признакам преступления, предусмотренного п. «г» ч. 3 ст.158 УК РФ (Кража с банковского счета). В ходе предварительного следствия подозреваемый полностью возместил причиненный ущерб. В настоящее время дело передано в </w:t>
      </w:r>
      <w:proofErr w:type="spellStart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Похвистневский</w:t>
      </w:r>
      <w:proofErr w:type="spellEnd"/>
      <w:r w:rsidRPr="00155C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районный суд для рассмотрения по существу.</w:t>
      </w:r>
    </w:p>
    <w:p w:rsidR="00F4406D" w:rsidRPr="00155C3B" w:rsidRDefault="00F4406D" w:rsidP="00155C3B">
      <w:pPr>
        <w:spacing w:line="240" w:lineRule="auto"/>
        <w:rPr>
          <w:sz w:val="18"/>
          <w:szCs w:val="18"/>
        </w:rPr>
      </w:pPr>
    </w:p>
    <w:p w:rsidR="00F4406D" w:rsidRPr="00155C3B" w:rsidRDefault="002A216C" w:rsidP="00155C3B">
      <w:pPr>
        <w:spacing w:line="240" w:lineRule="auto"/>
        <w:rPr>
          <w:sz w:val="18"/>
          <w:szCs w:val="18"/>
        </w:rPr>
      </w:pPr>
      <w:r w:rsidRPr="00155C3B">
        <w:rPr>
          <w:noProof/>
          <w:sz w:val="18"/>
          <w:szCs w:val="18"/>
          <w:lang w:eastAsia="ru-RU"/>
        </w:rPr>
        <w:drawing>
          <wp:inline distT="0" distB="0" distL="0" distR="0" wp14:anchorId="4CDC70E6" wp14:editId="3FE40524">
            <wp:extent cx="1152525" cy="864394"/>
            <wp:effectExtent l="19050" t="0" r="9525" b="0"/>
            <wp:docPr id="1" name="Рисунок 1" descr="C:\Users\Админ\AppData\Local\Microsoft\Windows\Temporary Internet Files\Content.Word\к кримина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к криминал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ED" w:rsidRPr="00155C3B" w:rsidRDefault="005301ED" w:rsidP="00155C3B">
      <w:pPr>
        <w:spacing w:after="16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 МО МВД России «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» состоялся строевой смотр личного состава</w:t>
      </w:r>
    </w:p>
    <w:p w:rsidR="005301ED" w:rsidRPr="00155C3B" w:rsidRDefault="005301ED" w:rsidP="00155C3B">
      <w:pPr>
        <w:spacing w:after="16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155C3B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 целях поддержания образцового внешнего вида, определения </w:t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</w:rPr>
        <w:t>строевой</w:t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 выправки сотрудников межмуниципального отдела, а также в связи с переходом на ношение летней формы одежды был проведен </w:t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</w:rPr>
        <w:t>строевой</w:t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 смотр личного состава. Начальники подразделений проверили форму одежды, размещение нашивок, нагрудных знаков сотрудников, соответствие служебных удостоверений, специальных жетонов с личными номерами.</w:t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br/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br/>
        <w:t>Подводя итоги строевого смотра, заместитель начальника МО МВД России «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» подполковник полиции Дмитрий Акулинин дал положительную оценку готовности личного состава к переходу на ношение летней формы одежды.</w:t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br/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br/>
        <w:t xml:space="preserve">Мероприятие прошло при участии также главы городского округа Похвистнево Сергея Попова, заместителя главы муниципального района 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Мудариса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Мамышева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и представителя от общественного совета при территориальном ОВД 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Гаптельхамита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Асылгареева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. В ходе встречи руководители вручили благодарственные письма членам добровольной народной дружины 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Похвистневского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района за успешное выполнение служебных обязанностей, добросовестный труд и неоценимую помощь в обеспечении правопорядка при проведении праздничных мероприятий и выборов в 2024 году. Также в рамках встречи благодарностями главы города Похвистнево и главы 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Похвистневского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района за добросовестное исполнение должностных обязанностей в обеспечении общественного порядка и общественной безопасности были отмечены сотрудники </w:t>
      </w:r>
      <w:proofErr w:type="spellStart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Похвистневского</w:t>
      </w:r>
      <w:proofErr w:type="spellEnd"/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отдела полиции.</w:t>
      </w:r>
    </w:p>
    <w:p w:rsidR="005301ED" w:rsidRPr="00155C3B" w:rsidRDefault="005301ED" w:rsidP="00155C3B">
      <w:pPr>
        <w:spacing w:after="16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155C3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Проведение строевых смотров поддерживает дисциплину и законность в подразделениях, а также способствует формированию положительного имиджа сотрудников органов внутренних дел.</w:t>
      </w:r>
      <w:r w:rsidRPr="00155C3B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</w:p>
    <w:p w:rsidR="00585A5C" w:rsidRPr="00155C3B" w:rsidRDefault="005301ED" w:rsidP="00155C3B">
      <w:pPr>
        <w:spacing w:line="240" w:lineRule="auto"/>
        <w:rPr>
          <w:sz w:val="18"/>
          <w:szCs w:val="18"/>
        </w:rPr>
      </w:pPr>
      <w:r w:rsidRPr="00155C3B">
        <w:rPr>
          <w:noProof/>
          <w:sz w:val="18"/>
          <w:szCs w:val="18"/>
          <w:lang w:eastAsia="ru-RU"/>
        </w:rPr>
        <w:drawing>
          <wp:inline distT="0" distB="0" distL="0" distR="0" wp14:anchorId="29A60AE6" wp14:editId="61FCE4B5">
            <wp:extent cx="1266825" cy="844550"/>
            <wp:effectExtent l="19050" t="0" r="9525" b="0"/>
            <wp:docPr id="4" name="Рисунок 4" descr="C:\Users\Админ\AppData\Local\Microsoft\Windows\Temporary Internet Files\Content.Word\IMG_7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_71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C3B">
        <w:rPr>
          <w:noProof/>
          <w:sz w:val="18"/>
          <w:szCs w:val="18"/>
          <w:lang w:eastAsia="ru-RU"/>
        </w:rPr>
        <w:drawing>
          <wp:inline distT="0" distB="0" distL="0" distR="0" wp14:anchorId="3DDED4B6" wp14:editId="2893259B">
            <wp:extent cx="1238250" cy="825500"/>
            <wp:effectExtent l="19050" t="0" r="0" b="0"/>
            <wp:docPr id="2" name="Рисунок 7" descr="C:\Users\Админ\AppData\Local\Microsoft\Windows\Temporary Internet Files\Content.Word\IMG_7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_7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5C" w:rsidRPr="00155C3B" w:rsidRDefault="00585A5C" w:rsidP="00155C3B">
      <w:pPr>
        <w:spacing w:line="240" w:lineRule="auto"/>
        <w:rPr>
          <w:sz w:val="18"/>
          <w:szCs w:val="18"/>
        </w:rPr>
      </w:pPr>
    </w:p>
    <w:p w:rsidR="005301ED" w:rsidRPr="00155C3B" w:rsidRDefault="005301ED" w:rsidP="00155C3B">
      <w:pPr>
        <w:spacing w:after="160" w:line="240" w:lineRule="auto"/>
        <w:rPr>
          <w:rFonts w:ascii="Calibri" w:eastAsia="Calibri" w:hAnsi="Calibri" w:cs="Times New Roman"/>
          <w:sz w:val="18"/>
          <w:szCs w:val="18"/>
        </w:rPr>
      </w:pPr>
      <w:r w:rsidRPr="00155C3B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30167CD5" wp14:editId="69BFC2D4">
            <wp:extent cx="152400" cy="152400"/>
            <wp:effectExtent l="0" t="0" r="0" b="0"/>
            <wp:docPr id="9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РЭО ГИБДД напоминает о порядке получения водительского удостоверения после окончания автошколы</w:t>
      </w:r>
      <w:proofErr w:type="gramStart"/>
      <w:r w:rsidRPr="00155C3B">
        <w:rPr>
          <w:rFonts w:ascii="Arial" w:eastAsia="Calibri" w:hAnsi="Arial" w:cs="Arial"/>
          <w:color w:val="000000"/>
          <w:sz w:val="18"/>
          <w:szCs w:val="18"/>
        </w:rPr>
        <w:br/>
      </w:r>
      <w:r w:rsidRPr="00155C3B">
        <w:rPr>
          <w:rFonts w:ascii="Arial" w:eastAsia="Calibri" w:hAnsi="Arial" w:cs="Arial"/>
          <w:color w:val="000000"/>
          <w:sz w:val="18"/>
          <w:szCs w:val="18"/>
        </w:rPr>
        <w:br/>
      </w:r>
      <w:r w:rsidRPr="00155C3B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7CA23BD8" wp14:editId="76DEBED5">
            <wp:extent cx="152400" cy="152400"/>
            <wp:effectExtent l="0" t="0" r="0" b="0"/>
            <wp:docPr id="10" name="Рисунок 3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🚘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З</w:t>
      </w:r>
      <w:proofErr w:type="gramEnd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акончив курс обучения в автошколе каждому кандидату в водители предстоит сдать теоретический и практический экзамен в ГИБДД</w:t>
      </w:r>
      <w:r w:rsidRPr="00155C3B">
        <w:rPr>
          <w:rFonts w:ascii="Arial" w:eastAsia="Calibri" w:hAnsi="Arial" w:cs="Arial"/>
          <w:color w:val="000000"/>
          <w:sz w:val="18"/>
          <w:szCs w:val="18"/>
        </w:rPr>
        <w:br/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Проведение административных процедур по приему экзаменов у кандидатов в водители осуществляется после оплаты государственной пошлины и регистрации заявления, направленного через Единый портал государственных услуг </w:t>
      </w:r>
      <w:hyperlink r:id="rId11" w:tgtFrame="_blank" w:history="1">
        <w:r w:rsidRPr="00155C3B">
          <w:rPr>
            <w:rFonts w:ascii="Arial" w:eastAsia="Calibri" w:hAnsi="Arial" w:cs="Arial"/>
            <w:color w:val="0000FF"/>
            <w:sz w:val="18"/>
            <w:szCs w:val="18"/>
          </w:rPr>
          <w:t>https://gosuslugi.ru</w:t>
        </w:r>
      </w:hyperlink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 или поданного лично в экзаменационном </w:t>
      </w:r>
      <w:proofErr w:type="gramStart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отделении</w:t>
      </w:r>
      <w:proofErr w:type="gramEnd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155C3B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A4BEAD6" wp14:editId="2D7CFE84">
            <wp:extent cx="152400" cy="152400"/>
            <wp:effectExtent l="0" t="0" r="0" b="0"/>
            <wp:docPr id="11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Обращаем внимание, что государственная пошлина оплачивается один раз за все указанные действия (теоретический и практический этап экзамена, и получение водительского удостоверения). В случае </w:t>
      </w:r>
      <w:proofErr w:type="spellStart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несдачи</w:t>
      </w:r>
      <w:proofErr w:type="spellEnd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экзаменов, оплачивать государственную пошлину повторно не требуется, она будет действительна в течени</w:t>
      </w:r>
      <w:proofErr w:type="gramStart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lastRenderedPageBreak/>
        <w:t>трех лет.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Необходимые документы для получения государственной услуги: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1. Документ, удостоверяющий личность.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2. Медицинская справка (срок действия медицинской справки 1 год).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3. Свидетельство об окончании автошколы.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4. Оплаченная государственная пошлина.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Размеры государственных пошлин и банковские реквизиты для ее уплаты размещены на информационных стендах экзаменационных отделений. Кроме того, эти данные указываются на портале </w:t>
      </w:r>
      <w:proofErr w:type="spellStart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Госуслуг</w:t>
      </w:r>
      <w:proofErr w:type="spellEnd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при оформлении электронной заявки и оплате пошлины через портал.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155C3B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F3CE193" wp14:editId="4DA69327">
            <wp:extent cx="152400" cy="152400"/>
            <wp:effectExtent l="0" t="0" r="0" b="0"/>
            <wp:docPr id="12" name="Рисунок 1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👮‍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Адрес МРЭО ГИБДД МО МВД России «</w:t>
      </w:r>
      <w:proofErr w:type="spellStart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»: </w:t>
      </w:r>
      <w:proofErr w:type="spellStart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</w:t>
      </w:r>
      <w:proofErr w:type="gramStart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.П</w:t>
      </w:r>
      <w:proofErr w:type="gramEnd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охвистнево</w:t>
      </w:r>
      <w:proofErr w:type="spellEnd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ул.Строителей</w:t>
      </w:r>
      <w:proofErr w:type="spellEnd"/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д.1</w:t>
      </w:r>
      <w:r w:rsidRPr="00155C3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Телефон экзаменационного отделения: 8 (84656) 2-44-47</w:t>
      </w:r>
    </w:p>
    <w:p w:rsidR="00585A5C" w:rsidRPr="00155C3B" w:rsidRDefault="00585A5C" w:rsidP="00155C3B">
      <w:pPr>
        <w:spacing w:line="240" w:lineRule="auto"/>
        <w:rPr>
          <w:sz w:val="18"/>
          <w:szCs w:val="18"/>
        </w:rPr>
      </w:pPr>
    </w:p>
    <w:p w:rsidR="005301ED" w:rsidRPr="00155C3B" w:rsidRDefault="005301ED" w:rsidP="00155C3B">
      <w:pPr>
        <w:spacing w:line="240" w:lineRule="auto"/>
        <w:rPr>
          <w:sz w:val="18"/>
          <w:szCs w:val="18"/>
        </w:rPr>
      </w:pPr>
      <w:r w:rsidRPr="00155C3B">
        <w:rPr>
          <w:noProof/>
          <w:sz w:val="18"/>
          <w:szCs w:val="18"/>
          <w:lang w:eastAsia="ru-RU"/>
        </w:rPr>
        <w:drawing>
          <wp:inline distT="0" distB="0" distL="0" distR="0" wp14:anchorId="0A681557" wp14:editId="560759BC">
            <wp:extent cx="1209675" cy="719190"/>
            <wp:effectExtent l="0" t="0" r="0" b="0"/>
            <wp:docPr id="13" name="Рисунок 10" descr="C:\Users\Админ\AppData\Local\Microsoft\Windows\Temporary Internet Files\Content.Word\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Temporary Internet Files\Content.Word\го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1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ED" w:rsidRPr="00155C3B" w:rsidRDefault="005301ED" w:rsidP="00155C3B">
      <w:pPr>
        <w:spacing w:line="240" w:lineRule="auto"/>
        <w:rPr>
          <w:sz w:val="18"/>
          <w:szCs w:val="18"/>
        </w:rPr>
      </w:pPr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>В рамках профилактической работы полицейские и общественники проводят беседы с молодым поколением на тему: «Безопасное поведение в сети Интернет»</w:t>
      </w:r>
      <w:r w:rsidRPr="00155C3B">
        <w:rPr>
          <w:rFonts w:ascii="Roboto" w:hAnsi="Roboto"/>
          <w:color w:val="000000"/>
          <w:sz w:val="18"/>
          <w:szCs w:val="18"/>
        </w:rPr>
        <w:br/>
      </w:r>
      <w:r w:rsidRPr="00155C3B">
        <w:rPr>
          <w:rFonts w:ascii="Roboto" w:hAnsi="Roboto"/>
          <w:color w:val="000000"/>
          <w:sz w:val="18"/>
          <w:szCs w:val="18"/>
        </w:rPr>
        <w:br/>
      </w:r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В </w:t>
      </w:r>
      <w:proofErr w:type="spellStart"/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>Похвистневском</w:t>
      </w:r>
      <w:proofErr w:type="spellEnd"/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районе, оперуполномоченный группы по предупреждению и раскрытию преступлений, совершенных с использованием информационно-телекоммуникационных технологий лейтенант полиции Владимир Григорьев совместно с представителем Общественного совета Татьяной </w:t>
      </w:r>
      <w:proofErr w:type="spellStart"/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>Лупцовой</w:t>
      </w:r>
      <w:proofErr w:type="spellEnd"/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рассказали подросткам о правилах безопасности в сети Интернет.</w:t>
      </w:r>
      <w:r w:rsidRPr="00155C3B">
        <w:rPr>
          <w:rFonts w:ascii="Roboto" w:hAnsi="Roboto"/>
          <w:color w:val="000000"/>
          <w:sz w:val="18"/>
          <w:szCs w:val="18"/>
        </w:rPr>
        <w:br/>
      </w:r>
      <w:r w:rsidRPr="00155C3B">
        <w:rPr>
          <w:rFonts w:ascii="Roboto" w:hAnsi="Roboto"/>
          <w:color w:val="000000"/>
          <w:sz w:val="18"/>
          <w:szCs w:val="18"/>
        </w:rPr>
        <w:br/>
      </w:r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В рамках встречи лейтенант полиции предупредил, что преступники безошибочно играют на доверчивости молодежи. Одна из популярных схем мошенничества - «легкий заработок», который основан на просмотре роликов или участии в голосовании. Чтобы оформить на такую «работу», злоумышленники просят данные банковской карты самого ребенка или родителя, смс-код для подтверждения входа, а затем списывают все деньги. То же касается онлайн-игр, в </w:t>
      </w:r>
      <w:proofErr w:type="gramStart"/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>которых</w:t>
      </w:r>
      <w:proofErr w:type="gramEnd"/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за деньги можно купить дополнительные опции или купить игровой аккаунт.</w:t>
      </w:r>
      <w:r w:rsidRPr="00155C3B">
        <w:rPr>
          <w:rFonts w:ascii="Roboto" w:hAnsi="Roboto"/>
          <w:color w:val="000000"/>
          <w:sz w:val="18"/>
          <w:szCs w:val="18"/>
        </w:rPr>
        <w:br/>
      </w:r>
      <w:r w:rsidRPr="00155C3B">
        <w:rPr>
          <w:rFonts w:ascii="Roboto" w:hAnsi="Roboto"/>
          <w:color w:val="000000"/>
          <w:sz w:val="18"/>
          <w:szCs w:val="18"/>
        </w:rPr>
        <w:br/>
      </w:r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Общественница отметила, что нельзя сообщать незнакомцам персональные данные и призвала быть внимательными при совершении покупок на Интернет сайтах, так как зачастую злоумышленники создают сайты дублеры популярных магазинов, где невнимательные пользователи могут стать жертвами хищения денежных средств. В конце беседы молодым людям вручили памятки с простыми правилами как защититься от мошеннических действий, а также попросили рассказать </w:t>
      </w:r>
      <w:proofErr w:type="gramStart"/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>услышанное</w:t>
      </w:r>
      <w:proofErr w:type="gramEnd"/>
      <w:r w:rsidRPr="00155C3B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своим родителям и пожилым родственникам, чтобы защитить их от злоумышленников.</w:t>
      </w:r>
    </w:p>
    <w:p w:rsidR="00585A5C" w:rsidRPr="00155C3B" w:rsidRDefault="005301ED" w:rsidP="00155C3B">
      <w:pPr>
        <w:spacing w:line="240" w:lineRule="auto"/>
        <w:rPr>
          <w:sz w:val="18"/>
          <w:szCs w:val="18"/>
        </w:rPr>
      </w:pPr>
      <w:r w:rsidRPr="00155C3B">
        <w:rPr>
          <w:noProof/>
          <w:sz w:val="18"/>
          <w:szCs w:val="18"/>
          <w:lang w:eastAsia="ru-RU"/>
        </w:rPr>
        <w:drawing>
          <wp:inline distT="0" distB="0" distL="0" distR="0" wp14:anchorId="730A64CD" wp14:editId="70C9EEB3">
            <wp:extent cx="1500188" cy="1000125"/>
            <wp:effectExtent l="19050" t="0" r="4762" b="0"/>
            <wp:docPr id="14" name="Рисунок 13" descr="C:\Users\Админ\AppData\Local\Microsoft\Windows\Temporary Internet Files\Content.Word\IMG_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AppData\Local\Microsoft\Windows\Temporary Internet Files\Content.Word\IMG_60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8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C3B">
        <w:rPr>
          <w:sz w:val="18"/>
          <w:szCs w:val="18"/>
        </w:rPr>
        <w:t xml:space="preserve"> </w:t>
      </w:r>
      <w:r w:rsidRPr="00155C3B">
        <w:rPr>
          <w:noProof/>
          <w:sz w:val="18"/>
          <w:szCs w:val="18"/>
          <w:lang w:eastAsia="ru-RU"/>
        </w:rPr>
        <w:drawing>
          <wp:inline distT="0" distB="0" distL="0" distR="0" wp14:anchorId="0DD74E54" wp14:editId="17E4A564">
            <wp:extent cx="1457325" cy="971550"/>
            <wp:effectExtent l="19050" t="0" r="9525" b="0"/>
            <wp:docPr id="16" name="Рисунок 16" descr="C:\Users\Админ\AppData\Local\Microsoft\Windows\Temporary Internet Files\Content.Word\IMG_6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AppData\Local\Microsoft\Windows\Temporary Internet Files\Content.Word\IMG_61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ED" w:rsidRDefault="005301ED"/>
    <w:p w:rsidR="005301ED" w:rsidRDefault="005301ED"/>
    <w:tbl>
      <w:tblPr>
        <w:tblpPr w:leftFromText="180" w:rightFromText="180" w:bottomFromText="200" w:vertAnchor="text" w:horzAnchor="margin" w:tblpY="11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585A5C" w:rsidRPr="00357EB3" w:rsidTr="00877B94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5C" w:rsidRPr="00357EB3" w:rsidRDefault="00585A5C" w:rsidP="00877B94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585A5C" w:rsidRPr="00357EB3" w:rsidRDefault="00585A5C" w:rsidP="00877B9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585A5C" w:rsidRPr="00357EB3" w:rsidRDefault="00585A5C" w:rsidP="00877B9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585A5C" w:rsidRPr="00357EB3" w:rsidRDefault="00585A5C" w:rsidP="00877B9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585A5C" w:rsidRPr="00357EB3" w:rsidTr="00877B94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5C" w:rsidRPr="00357EB3" w:rsidRDefault="00585A5C" w:rsidP="00877B94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585A5C" w:rsidRPr="00357EB3" w:rsidRDefault="00585A5C" w:rsidP="00877B9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585A5C" w:rsidRDefault="00585A5C"/>
    <w:sectPr w:rsidR="00585A5C" w:rsidSect="0001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02C9"/>
    <w:multiLevelType w:val="hybridMultilevel"/>
    <w:tmpl w:val="B35ECA34"/>
    <w:lvl w:ilvl="0" w:tplc="8C449A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2755B0"/>
    <w:multiLevelType w:val="hybridMultilevel"/>
    <w:tmpl w:val="AAAC3324"/>
    <w:lvl w:ilvl="0" w:tplc="316C892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F2123F"/>
    <w:multiLevelType w:val="hybridMultilevel"/>
    <w:tmpl w:val="5376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06D"/>
    <w:rsid w:val="000135CE"/>
    <w:rsid w:val="00064BCA"/>
    <w:rsid w:val="000B7F8E"/>
    <w:rsid w:val="00155C3B"/>
    <w:rsid w:val="002A216C"/>
    <w:rsid w:val="002E2D61"/>
    <w:rsid w:val="0044787C"/>
    <w:rsid w:val="0051752B"/>
    <w:rsid w:val="005301ED"/>
    <w:rsid w:val="00585A5C"/>
    <w:rsid w:val="00651ECE"/>
    <w:rsid w:val="00DF2366"/>
    <w:rsid w:val="00ED3E9A"/>
    <w:rsid w:val="00EE3FB5"/>
    <w:rsid w:val="00F42978"/>
    <w:rsid w:val="00F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5C"/>
  </w:style>
  <w:style w:type="paragraph" w:styleId="1">
    <w:name w:val="heading 1"/>
    <w:basedOn w:val="a"/>
    <w:next w:val="a"/>
    <w:link w:val="10"/>
    <w:qFormat/>
    <w:rsid w:val="005175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440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nhideWhenUsed/>
    <w:rsid w:val="002A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1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75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51752B"/>
  </w:style>
  <w:style w:type="character" w:customStyle="1" w:styleId="12">
    <w:name w:val="Основной шрифт абзаца1"/>
    <w:rsid w:val="0051752B"/>
  </w:style>
  <w:style w:type="character" w:styleId="a6">
    <w:name w:val="page number"/>
    <w:basedOn w:val="12"/>
    <w:rsid w:val="0051752B"/>
  </w:style>
  <w:style w:type="paragraph" w:customStyle="1" w:styleId="a7">
    <w:basedOn w:val="a"/>
    <w:next w:val="a8"/>
    <w:qFormat/>
    <w:rsid w:val="0051752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8">
    <w:name w:val="Body Text"/>
    <w:basedOn w:val="a"/>
    <w:link w:val="a9"/>
    <w:rsid w:val="005175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9">
    <w:name w:val="Основной текст Знак"/>
    <w:basedOn w:val="a0"/>
    <w:link w:val="a8"/>
    <w:rsid w:val="0051752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List"/>
    <w:basedOn w:val="a8"/>
    <w:rsid w:val="0051752B"/>
    <w:rPr>
      <w:rFonts w:cs="Tahoma"/>
    </w:rPr>
  </w:style>
  <w:style w:type="paragraph" w:customStyle="1" w:styleId="13">
    <w:name w:val="Название1"/>
    <w:basedOn w:val="a"/>
    <w:rsid w:val="005175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51752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styleId="ab">
    <w:name w:val="footer"/>
    <w:basedOn w:val="a"/>
    <w:link w:val="ac"/>
    <w:rsid w:val="005175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c">
    <w:name w:val="Нижний колонтитул Знак"/>
    <w:basedOn w:val="a0"/>
    <w:link w:val="ab"/>
    <w:rsid w:val="0051752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d">
    <w:name w:val="header"/>
    <w:basedOn w:val="a"/>
    <w:link w:val="ae"/>
    <w:rsid w:val="005175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517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5175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0">
    <w:name w:val="Заголовок таблицы"/>
    <w:basedOn w:val="af"/>
    <w:rsid w:val="0051752B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51752B"/>
  </w:style>
  <w:style w:type="paragraph" w:customStyle="1" w:styleId="ConsPlusCell">
    <w:name w:val="ConsPlusCell"/>
    <w:uiPriority w:val="99"/>
    <w:rsid w:val="005175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51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51752B"/>
    <w:rPr>
      <w:sz w:val="16"/>
      <w:szCs w:val="16"/>
    </w:rPr>
  </w:style>
  <w:style w:type="paragraph" w:styleId="af3">
    <w:name w:val="annotation text"/>
    <w:basedOn w:val="a"/>
    <w:link w:val="af4"/>
    <w:rsid w:val="00517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4">
    <w:name w:val="Текст примечания Знак"/>
    <w:basedOn w:val="a0"/>
    <w:link w:val="af3"/>
    <w:rsid w:val="0051752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5">
    <w:name w:val="annotation subject"/>
    <w:basedOn w:val="af3"/>
    <w:next w:val="af3"/>
    <w:link w:val="af6"/>
    <w:rsid w:val="0051752B"/>
    <w:rPr>
      <w:b/>
      <w:bCs/>
    </w:rPr>
  </w:style>
  <w:style w:type="character" w:customStyle="1" w:styleId="af6">
    <w:name w:val="Тема примечания Знак"/>
    <w:basedOn w:val="af4"/>
    <w:link w:val="af5"/>
    <w:rsid w:val="0051752B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s%3A%2F%2Fgosuslugi.ru&amp;post=536760202_2461&amp;cc_key=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6472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11</cp:revision>
  <dcterms:created xsi:type="dcterms:W3CDTF">2024-04-24T05:38:00Z</dcterms:created>
  <dcterms:modified xsi:type="dcterms:W3CDTF">2024-08-21T06:33:00Z</dcterms:modified>
</cp:coreProperties>
</file>