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D" w:rsidRDefault="00182B5D" w:rsidP="00182B5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82B5D" w:rsidRDefault="00182B5D" w:rsidP="00182B5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82B5D" w:rsidRDefault="003A580A" w:rsidP="00182B5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19</w:t>
      </w:r>
      <w:r w:rsidR="00182B5D">
        <w:rPr>
          <w:rFonts w:ascii="Times New Roman" w:hAnsi="Times New Roman"/>
          <w:b/>
          <w:lang w:eastAsia="ru-RU"/>
        </w:rPr>
        <w:t xml:space="preserve">  февраля 2024г                                                                     </w:t>
      </w:r>
      <w:r w:rsidR="00182B5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182B5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182B5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182B5D">
        <w:rPr>
          <w:rFonts w:ascii="Times New Roman" w:hAnsi="Times New Roman"/>
          <w:b/>
          <w:sz w:val="20"/>
          <w:szCs w:val="20"/>
          <w:lang w:eastAsia="ru-RU"/>
        </w:rPr>
        <w:t>№ 6 (640) ОФИЦИАЛЬНО</w:t>
      </w:r>
    </w:p>
    <w:p w:rsidR="00182B5D" w:rsidRDefault="00182B5D" w:rsidP="00182B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91460" w:rsidRPr="00F91460" w:rsidRDefault="00182B5D" w:rsidP="00F9146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47738" w:rsidRDefault="00C47738" w:rsidP="00F9146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vertAlign w:val="superscript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СТАРЫЙ АМАНАК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РАЙОНА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ПОХВИСТНЕВСКИЙ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Самарская область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446472, Самарская область,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тарый Аманак,ул.Центральная,37А.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тел.44-5-71,факс (884656)44-5-73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ПОСТАНОВЛЕНИЕ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             </w:t>
      </w: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13.02.2024г.  № 5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 внесении изменений в Перечень главных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администраторов доходов бюджета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Самарской области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В соответствии со статьей 160.1 Бюджетного кодекса  Российской Федерации Администрация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Внести  в  Перечень  главных  администраторов  доходов бюджета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 утвержденный постановлением администрации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 </w:t>
      </w:r>
      <w:r w:rsidRPr="0088499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14.11.2022 №80 </w:t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изменения:</w:t>
      </w:r>
    </w:p>
    <w:p w:rsidR="00C47738" w:rsidRPr="0088499C" w:rsidRDefault="00C47738" w:rsidP="008849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приложении к вышеуказанному постановлению по коду главного администратора доходов «182»  «Управление Федеральной налоговой службы Российской Федерации по Самарской области» после строки:</w:t>
      </w:r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835"/>
        <w:gridCol w:w="6343"/>
      </w:tblGrid>
      <w:tr w:rsidR="00C47738" w:rsidRPr="0088499C" w:rsidTr="002825D6">
        <w:trPr>
          <w:trHeight w:val="593"/>
        </w:trPr>
        <w:tc>
          <w:tcPr>
            <w:tcW w:w="711" w:type="dxa"/>
            <w:shd w:val="clear" w:color="auto" w:fill="auto"/>
            <w:noWrap/>
            <w:vAlign w:val="center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101 02040 01 0000 110</w:t>
            </w:r>
          </w:p>
        </w:tc>
        <w:tc>
          <w:tcPr>
            <w:tcW w:w="6343" w:type="dxa"/>
            <w:shd w:val="clear" w:color="auto" w:fill="auto"/>
          </w:tcPr>
          <w:p w:rsidR="00C47738" w:rsidRPr="0088499C" w:rsidRDefault="00C47738" w:rsidP="0088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</w:tr>
    </w:tbl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дополнить  следующие коды бюджетной классификации РФ: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379"/>
      </w:tblGrid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103 02231</w:t>
            </w:r>
            <w:r w:rsidRPr="0088499C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01 0000 110 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103 02241 01 0000 110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103 02251 01 0000 110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103 02261 01 0000 110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По коду главного администратора доходов «100» «Федеральное казначейство» исключить следующие коды  бюджетной классификации РФ: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379"/>
      </w:tblGrid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103 02231</w:t>
            </w:r>
            <w:r w:rsidRPr="0088499C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01 0000 110 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103 02241 01 0000 110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103 02251 01 0000 110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47738" w:rsidRPr="0088499C" w:rsidTr="002825D6">
        <w:tc>
          <w:tcPr>
            <w:tcW w:w="67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103 02261 01 0000 110</w:t>
            </w:r>
          </w:p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C47738" w:rsidRPr="0088499C" w:rsidRDefault="00C47738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2. 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 Постановление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официальном сайте Администрации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Интернет.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 Настоящее Постановление вступает в силу со дня его подписания и распространяется на правоотношения, возникающие с 1 января 2023 года.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4. 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настоящего Постановления оставляю за собой.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Глава поселения 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Т.А. Ефремова                   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C47738" w:rsidRPr="0088499C" w:rsidRDefault="00C47738" w:rsidP="008849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7738" w:rsidRPr="0088499C" w:rsidRDefault="00C47738" w:rsidP="008849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X="392" w:tblpY="113"/>
        <w:tblW w:w="10598" w:type="dxa"/>
        <w:tblLook w:val="04A0"/>
      </w:tblPr>
      <w:tblGrid>
        <w:gridCol w:w="4503"/>
        <w:gridCol w:w="6095"/>
      </w:tblGrid>
      <w:tr w:rsidR="00F91460" w:rsidRPr="0088499C" w:rsidTr="009A0093">
        <w:tc>
          <w:tcPr>
            <w:tcW w:w="4503" w:type="dxa"/>
            <w:shd w:val="clear" w:color="auto" w:fill="auto"/>
          </w:tcPr>
          <w:p w:rsidR="00F91460" w:rsidRPr="0088499C" w:rsidRDefault="00F91460" w:rsidP="0088499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Российская Федерация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АДМИНИСТРАЦИЯ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сельского поселения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СТАРЫЙ АМАНАК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муниципального района </w:t>
            </w:r>
            <w:proofErr w:type="spellStart"/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Похвистневский</w:t>
            </w:r>
            <w:proofErr w:type="spellEnd"/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Самарской области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ПОСТАНОВЛЕНИЕ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ar-SA"/>
              </w:rPr>
              <w:t>19.02.2024</w:t>
            </w:r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№ 6</w:t>
            </w:r>
          </w:p>
          <w:p w:rsidR="00F91460" w:rsidRPr="0088499C" w:rsidRDefault="00F91460" w:rsidP="008849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proofErr w:type="gramStart"/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proofErr w:type="gramEnd"/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. Старый </w:t>
            </w:r>
            <w:proofErr w:type="spellStart"/>
            <w:r w:rsidRPr="0088499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Аманак</w:t>
            </w:r>
            <w:proofErr w:type="spellEnd"/>
          </w:p>
          <w:p w:rsidR="00F91460" w:rsidRPr="0088499C" w:rsidRDefault="00F91460" w:rsidP="0088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88499C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 xml:space="preserve"> муниципального района </w:t>
            </w:r>
            <w:proofErr w:type="spellStart"/>
            <w:r w:rsidRPr="0088499C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>Похвистневский</w:t>
            </w:r>
            <w:proofErr w:type="spellEnd"/>
            <w:r w:rsidRPr="0088499C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 xml:space="preserve"> Самарской области от 07.08.2023г. №88</w:t>
            </w:r>
          </w:p>
        </w:tc>
        <w:tc>
          <w:tcPr>
            <w:tcW w:w="6095" w:type="dxa"/>
            <w:shd w:val="clear" w:color="auto" w:fill="auto"/>
          </w:tcPr>
          <w:p w:rsidR="00F91460" w:rsidRPr="0088499C" w:rsidRDefault="00F91460" w:rsidP="0088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F91460" w:rsidRPr="0088499C" w:rsidRDefault="00F91460" w:rsidP="00884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F91460" w:rsidRPr="0088499C" w:rsidRDefault="00F91460" w:rsidP="0088499C">
      <w:pPr>
        <w:tabs>
          <w:tab w:val="left" w:pos="10618"/>
        </w:tabs>
        <w:autoSpaceDE w:val="0"/>
        <w:autoSpaceDN w:val="0"/>
        <w:adjustRightInd w:val="0"/>
        <w:spacing w:after="0" w:line="240" w:lineRule="auto"/>
        <w:ind w:left="284" w:right="-2"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Постановлением Администрации сельского поселения от </w:t>
      </w: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11.11.2019г. №133</w:t>
      </w: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«Об утверждении порядка разработки, реализации и оценки эффективности муниципальных  программ сельского поселения», </w:t>
      </w: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Администрация сельского поселения </w:t>
      </w: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Старый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Самарской области</w:t>
      </w:r>
    </w:p>
    <w:p w:rsidR="00F91460" w:rsidRPr="0088499C" w:rsidRDefault="00F91460" w:rsidP="0088499C">
      <w:pPr>
        <w:autoSpaceDE w:val="0"/>
        <w:autoSpaceDN w:val="0"/>
        <w:adjustRightInd w:val="0"/>
        <w:spacing w:before="120" w:after="0" w:line="240" w:lineRule="auto"/>
        <w:ind w:left="284" w:right="4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  <w:proofErr w:type="gramStart"/>
      <w:r w:rsidRPr="0088499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П</w:t>
      </w:r>
      <w:proofErr w:type="gramEnd"/>
      <w:r w:rsidRPr="0088499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О С Т А Н О В Л Я Е Т:</w:t>
      </w:r>
    </w:p>
    <w:p w:rsidR="00F91460" w:rsidRPr="0088499C" w:rsidRDefault="00F91460" w:rsidP="0088499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284" w:right="-2" w:firstLine="58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Внести в муниципальную программу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годы», утвержденную Постановлением Администрации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от 07.08.2023г. №88, следующие изменения: </w:t>
      </w:r>
      <w:proofErr w:type="gramEnd"/>
    </w:p>
    <w:p w:rsidR="00F91460" w:rsidRPr="0088499C" w:rsidRDefault="00F91460" w:rsidP="0088499C">
      <w:pPr>
        <w:numPr>
          <w:ilvl w:val="1"/>
          <w:numId w:val="11"/>
        </w:numPr>
        <w:spacing w:after="0" w:line="240" w:lineRule="auto"/>
        <w:ind w:left="284" w:right="-2" w:firstLine="70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В приложении «Паспорт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 </w:t>
      </w:r>
    </w:p>
    <w:p w:rsidR="00F91460" w:rsidRPr="0088499C" w:rsidRDefault="00F91460" w:rsidP="0088499C">
      <w:pPr>
        <w:spacing w:after="0" w:line="240" w:lineRule="auto"/>
        <w:ind w:left="1991" w:right="4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1044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7217"/>
      </w:tblGrid>
      <w:tr w:rsidR="00F91460" w:rsidRPr="0088499C" w:rsidTr="00F91460">
        <w:trPr>
          <w:trHeight w:val="164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ind w:left="284" w:hanging="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lastRenderedPageBreak/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муниципальной программы составит 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72455,9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13 021,0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12 952,7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12 876,8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16 802,7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16 802,7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1.2. Паспорт подпрограммы 1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10172,1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2 189,9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2361,0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1756,2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1 932,5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1 932,5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1.3. Паспорт подпрограммы 2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17 773,1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3 648,7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3 512,8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3 554,6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3 528,5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3 528,5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1.4. Паспорт подпрограммы 3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1022,16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201,5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201,5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201,5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208,8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208,8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1.5. Паспорт подпрограммы 4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36832,5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5 728,7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5 895,7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6026,7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9590,7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9590,7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1.6. Паспорт подпрограммы 6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ind w:left="-859" w:firstLine="859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188,2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lastRenderedPageBreak/>
              <w:t>в 2024 году – 53,6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57,5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57,5 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9,8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9,8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1.7. Паспорт подпрограммы 7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1062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Общий объем финансирования составит  139,6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139,6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0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0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0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0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1.8. Паспорт подпрограммы 8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1062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F91460" w:rsidRPr="0088499C" w:rsidTr="00F91460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Общий объем финансирования составит  6328,3 </w:t>
            </w:r>
            <w:r w:rsidRPr="008849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тыс. рублей</w:t>
            </w: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,  в том числе: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2024 году – 1059,0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2025 году – 924,2 тыс. рублей;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в 2026 году – 1280,3 тыс. рублей; </w:t>
            </w:r>
          </w:p>
          <w:p w:rsidR="00F91460" w:rsidRPr="0088499C" w:rsidRDefault="00F91460" w:rsidP="0088499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в 2027 году – 1532,4 тыс. рублей;</w:t>
            </w:r>
          </w:p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в 2028 году – 1532,4 тыс. рублей.</w:t>
            </w:r>
          </w:p>
        </w:tc>
      </w:tr>
    </w:tbl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1.9. Приложения 2 и 3 изложить в новой редакции (прилагаются).</w:t>
      </w:r>
    </w:p>
    <w:p w:rsidR="00F91460" w:rsidRPr="0088499C" w:rsidRDefault="00F91460" w:rsidP="0088499C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2. </w:t>
      </w:r>
      <w:proofErr w:type="gram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Контроль за</w:t>
      </w:r>
      <w:proofErr w:type="gram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исполнением настоящего Постановления оставляю за собой.</w:t>
      </w:r>
    </w:p>
    <w:p w:rsidR="00F91460" w:rsidRPr="0088499C" w:rsidRDefault="00F91460" w:rsidP="0088499C">
      <w:pPr>
        <w:spacing w:after="0" w:line="240" w:lineRule="auto"/>
        <w:ind w:left="284" w:right="-2"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3. </w:t>
      </w: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Разместить на официальном сайте Администрации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в сети Интернет.</w:t>
      </w:r>
    </w:p>
    <w:p w:rsidR="00F91460" w:rsidRPr="0088499C" w:rsidRDefault="00F91460" w:rsidP="0088499C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4. Опубликовать настоящее Постановление в газете «Вестник сельского поселения </w:t>
      </w: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Старый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</w:t>
      </w:r>
    </w:p>
    <w:p w:rsidR="00F91460" w:rsidRPr="0088499C" w:rsidRDefault="00F91460" w:rsidP="0088499C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5. Настоящее Постановление вступает в силу со дня его официального опубликования.</w:t>
      </w: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ind w:left="284" w:right="479"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ind w:left="284" w:right="479"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91460" w:rsidRPr="0088499C" w:rsidRDefault="00F91460" w:rsidP="0088499C">
      <w:pPr>
        <w:spacing w:after="0" w:line="240" w:lineRule="auto"/>
        <w:ind w:left="284" w:right="479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Глава поселения                                                                Ефремова Т.А.</w:t>
      </w:r>
    </w:p>
    <w:p w:rsidR="00F91460" w:rsidRPr="0088499C" w:rsidRDefault="00F91460" w:rsidP="0088499C">
      <w:pPr>
        <w:spacing w:after="0" w:line="240" w:lineRule="auto"/>
        <w:ind w:right="4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91460" w:rsidRPr="0088499C" w:rsidRDefault="00F91460" w:rsidP="0088499C">
      <w:pPr>
        <w:suppressAutoHyphens/>
        <w:spacing w:after="0" w:line="240" w:lineRule="auto"/>
        <w:ind w:left="9911" w:hanging="25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Приложение 2</w:t>
      </w:r>
    </w:p>
    <w:p w:rsidR="00F91460" w:rsidRPr="0088499C" w:rsidRDefault="00F91460" w:rsidP="0088499C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к муниципальной Программе «Комплексное развитие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Самарской области на 2024-2028 годы»</w:t>
      </w: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ПЛАН МЕРОПРИЯТИЙ</w:t>
      </w: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муниципальной программы «Комплексное развитие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 Самарской области на 2024-2028 годы»</w:t>
      </w: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</w:p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</w:p>
    <w:tbl>
      <w:tblPr>
        <w:tblW w:w="10420" w:type="dxa"/>
        <w:tblInd w:w="-459" w:type="dxa"/>
        <w:tblLook w:val="04A0"/>
      </w:tblPr>
      <w:tblGrid>
        <w:gridCol w:w="932"/>
        <w:gridCol w:w="2568"/>
        <w:gridCol w:w="1192"/>
        <w:gridCol w:w="948"/>
        <w:gridCol w:w="956"/>
        <w:gridCol w:w="956"/>
        <w:gridCol w:w="956"/>
        <w:gridCol w:w="956"/>
        <w:gridCol w:w="956"/>
      </w:tblGrid>
      <w:tr w:rsidR="00F91460" w:rsidRPr="0088499C" w:rsidTr="00F91460">
        <w:trPr>
          <w:trHeight w:val="31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№   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Наименование мероприятий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Источник</w:t>
            </w:r>
          </w:p>
        </w:tc>
        <w:tc>
          <w:tcPr>
            <w:tcW w:w="47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в том числе по годам (тыс. руб.)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Всего за 5 лет</w:t>
            </w:r>
          </w:p>
        </w:tc>
      </w:tr>
      <w:tr w:rsidR="00F91460" w:rsidRPr="0088499C" w:rsidTr="00F91460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  <w:proofErr w:type="gram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/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финанси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477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91460" w:rsidRPr="0088499C" w:rsidTr="00F91460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рования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2028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91460" w:rsidRPr="0088499C" w:rsidTr="00F91460">
        <w:trPr>
          <w:trHeight w:val="228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1. «Комплексное развитие системы жилищно-коммунального хозяйства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2189,9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2361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1756,2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10172,1</w:t>
            </w:r>
          </w:p>
        </w:tc>
      </w:tr>
      <w:tr w:rsidR="00F91460" w:rsidRPr="0088499C" w:rsidTr="00F91460">
        <w:trPr>
          <w:trHeight w:val="12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Ремонт котельной и водопроводных сетей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225</w:t>
            </w:r>
          </w:p>
        </w:tc>
      </w:tr>
      <w:tr w:rsidR="00F91460" w:rsidRPr="0088499C" w:rsidTr="00F91460">
        <w:trPr>
          <w:trHeight w:val="12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82,6</w:t>
            </w:r>
          </w:p>
        </w:tc>
      </w:tr>
      <w:tr w:rsidR="00F91460" w:rsidRPr="0088499C" w:rsidTr="00F91460">
        <w:trPr>
          <w:trHeight w:val="136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Приобретение насосов, пожарных гидрантов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321,4</w:t>
            </w:r>
          </w:p>
        </w:tc>
      </w:tr>
      <w:tr w:rsidR="00F91460" w:rsidRPr="0088499C" w:rsidTr="00F91460">
        <w:trPr>
          <w:trHeight w:val="168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105</w:t>
            </w:r>
          </w:p>
        </w:tc>
      </w:tr>
      <w:tr w:rsidR="00F91460" w:rsidRPr="0088499C" w:rsidTr="00F91460">
        <w:trPr>
          <w:trHeight w:val="12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Благоустройство населенных пунктов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107,3</w:t>
            </w:r>
          </w:p>
        </w:tc>
      </w:tr>
      <w:tr w:rsidR="00F91460" w:rsidRPr="0088499C" w:rsidTr="00F91460">
        <w:trPr>
          <w:trHeight w:val="138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741,5</w:t>
            </w:r>
          </w:p>
        </w:tc>
      </w:tr>
      <w:tr w:rsidR="00F91460" w:rsidRPr="0088499C" w:rsidTr="00F91460">
        <w:trPr>
          <w:trHeight w:val="12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42,4</w:t>
            </w:r>
          </w:p>
        </w:tc>
      </w:tr>
      <w:tr w:rsidR="00F91460" w:rsidRPr="0088499C" w:rsidTr="00F91460">
        <w:trPr>
          <w:trHeight w:val="14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Услуги по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обкосу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травы и уборке снега на территории сельских поселений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586</w:t>
            </w:r>
          </w:p>
        </w:tc>
      </w:tr>
      <w:tr w:rsidR="00F91460" w:rsidRPr="0088499C" w:rsidTr="00F91460">
        <w:trPr>
          <w:trHeight w:val="81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Содержание водителей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496,1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496,3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496,3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2517,5</w:t>
            </w:r>
          </w:p>
        </w:tc>
      </w:tr>
      <w:tr w:rsidR="00F91460" w:rsidRPr="0088499C" w:rsidTr="00F91460">
        <w:trPr>
          <w:trHeight w:val="6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Трудоустройство граждан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42,4</w:t>
            </w:r>
          </w:p>
        </w:tc>
      </w:tr>
      <w:tr w:rsidR="00F91460" w:rsidRPr="0088499C" w:rsidTr="00F91460">
        <w:trPr>
          <w:trHeight w:val="6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1.11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Уличное освещение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559,4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838,1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838,1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3275,3</w:t>
            </w:r>
          </w:p>
        </w:tc>
      </w:tr>
      <w:tr w:rsidR="00F91460" w:rsidRPr="0088499C" w:rsidTr="00F91460">
        <w:trPr>
          <w:trHeight w:val="199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78,8</w:t>
            </w:r>
          </w:p>
        </w:tc>
      </w:tr>
      <w:tr w:rsidR="00F91460" w:rsidRPr="0088499C" w:rsidTr="00F91460">
        <w:trPr>
          <w:trHeight w:val="139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Вывоз ТКО с территорий кладбищ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90,6</w:t>
            </w:r>
          </w:p>
        </w:tc>
      </w:tr>
      <w:tr w:rsidR="00F91460" w:rsidRPr="0088499C" w:rsidTr="00F91460">
        <w:trPr>
          <w:trHeight w:val="885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Уплата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налогов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,с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боров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иных платежей  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652,1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652,1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652,1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1956,3</w:t>
            </w:r>
          </w:p>
        </w:tc>
      </w:tr>
      <w:tr w:rsidR="00F91460" w:rsidRPr="0088499C" w:rsidTr="00F91460">
        <w:trPr>
          <w:trHeight w:val="36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91460" w:rsidRPr="0088499C" w:rsidTr="00F91460">
        <w:trPr>
          <w:trHeight w:val="36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91460" w:rsidRPr="0088499C" w:rsidTr="00F91460">
        <w:trPr>
          <w:trHeight w:val="21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2. «Муниципальное управление в сельском поселении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3648,7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3554,6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17773,1</w:t>
            </w:r>
          </w:p>
        </w:tc>
      </w:tr>
      <w:tr w:rsidR="00F91460" w:rsidRPr="0088499C" w:rsidTr="00F91460">
        <w:trPr>
          <w:trHeight w:val="1065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Развитие муниципальной службы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3448,3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3294,2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16976,5</w:t>
            </w:r>
          </w:p>
        </w:tc>
      </w:tr>
      <w:tr w:rsidR="00F91460" w:rsidRPr="0088499C" w:rsidTr="00F91460">
        <w:trPr>
          <w:trHeight w:val="660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137,8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455,8</w:t>
            </w:r>
          </w:p>
        </w:tc>
      </w:tr>
      <w:tr w:rsidR="00F91460" w:rsidRPr="0088499C" w:rsidTr="00F91460">
        <w:trPr>
          <w:trHeight w:val="15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Развитие информационного общества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61,6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61,6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66,9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314,6</w:t>
            </w:r>
          </w:p>
        </w:tc>
      </w:tr>
      <w:tr w:rsidR="00F91460" w:rsidRPr="0088499C" w:rsidTr="00F91460">
        <w:trPr>
          <w:trHeight w:val="126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26,2</w:t>
            </w:r>
          </w:p>
        </w:tc>
      </w:tr>
      <w:tr w:rsidR="00F91460" w:rsidRPr="0088499C" w:rsidTr="00F91460">
        <w:trPr>
          <w:trHeight w:val="135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2.4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Оценка недвижимости, признания и регулирование отношений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F91460" w:rsidRPr="0088499C" w:rsidTr="00F91460">
        <w:trPr>
          <w:trHeight w:val="37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1022,1</w:t>
            </w:r>
          </w:p>
        </w:tc>
      </w:tr>
      <w:tr w:rsidR="00F91460" w:rsidRPr="0088499C" w:rsidTr="00F91460">
        <w:trPr>
          <w:trHeight w:val="18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279,8</w:t>
            </w:r>
          </w:p>
        </w:tc>
      </w:tr>
      <w:tr w:rsidR="00F91460" w:rsidRPr="0088499C" w:rsidTr="00F91460">
        <w:trPr>
          <w:trHeight w:val="139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Содержание Добровольной Народной Дружины на территории сельских поселений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75,6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381,6</w:t>
            </w:r>
          </w:p>
        </w:tc>
      </w:tr>
      <w:tr w:rsidR="00F91460" w:rsidRPr="0088499C" w:rsidTr="00F91460">
        <w:trPr>
          <w:trHeight w:val="19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Проведение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дератизационных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мероприятий против мышевидных грызунов на территории поселения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29,6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29,6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29,6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153</w:t>
            </w:r>
          </w:p>
        </w:tc>
      </w:tr>
      <w:tr w:rsidR="00F91460" w:rsidRPr="0088499C" w:rsidTr="00F91460">
        <w:trPr>
          <w:trHeight w:val="15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Акарицидная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обработка от клещей  на территории сельских поселений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155,3</w:t>
            </w:r>
          </w:p>
        </w:tc>
      </w:tr>
      <w:tr w:rsidR="00F91460" w:rsidRPr="0088499C" w:rsidTr="00F91460">
        <w:trPr>
          <w:trHeight w:val="9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3.5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52,4</w:t>
            </w:r>
          </w:p>
        </w:tc>
      </w:tr>
      <w:tr w:rsidR="00F91460" w:rsidRPr="0088499C" w:rsidTr="00F91460">
        <w:trPr>
          <w:trHeight w:val="24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5728,7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5895,7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6026,7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36832,5</w:t>
            </w:r>
          </w:p>
        </w:tc>
      </w:tr>
      <w:tr w:rsidR="00F91460" w:rsidRPr="0088499C" w:rsidTr="00F91460">
        <w:trPr>
          <w:trHeight w:val="22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4.1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3199,9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3939,9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3600,2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7283,2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7283,2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25306,4</w:t>
            </w:r>
          </w:p>
        </w:tc>
      </w:tr>
      <w:tr w:rsidR="00F91460" w:rsidRPr="0088499C" w:rsidTr="00F91460">
        <w:trPr>
          <w:trHeight w:val="15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Содержание автомобильных дорог</w:t>
            </w: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общего пользования местного значения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4322,8</w:t>
            </w:r>
          </w:p>
        </w:tc>
      </w:tr>
      <w:tr w:rsidR="00F91460" w:rsidRPr="0088499C" w:rsidTr="00F91460">
        <w:trPr>
          <w:trHeight w:val="18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638,1</w:t>
            </w:r>
          </w:p>
        </w:tc>
      </w:tr>
      <w:tr w:rsidR="00F91460" w:rsidRPr="0088499C" w:rsidTr="00F91460">
        <w:trPr>
          <w:trHeight w:val="6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Отсыпка дорог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112,5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525</w:t>
            </w:r>
          </w:p>
        </w:tc>
      </w:tr>
      <w:tr w:rsidR="00F91460" w:rsidRPr="0088499C" w:rsidTr="00F91460">
        <w:trPr>
          <w:trHeight w:val="145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4.5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Содержание дорог (уличное освещение)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1375,1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802,1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1272,8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1295,1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1295,1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6040,2</w:t>
            </w:r>
          </w:p>
        </w:tc>
      </w:tr>
      <w:tr w:rsidR="00F91460" w:rsidRPr="0088499C" w:rsidTr="00F91460">
        <w:trPr>
          <w:trHeight w:val="25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F91460">
        <w:trPr>
          <w:trHeight w:val="16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5.1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поселения, областной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F91460">
        <w:trPr>
          <w:trHeight w:val="255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6 «Развитие физической культуры и спорта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53,6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188,2</w:t>
            </w:r>
          </w:p>
        </w:tc>
      </w:tr>
      <w:tr w:rsidR="00F91460" w:rsidRPr="0088499C" w:rsidTr="00F91460">
        <w:trPr>
          <w:trHeight w:val="18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6.1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85</w:t>
            </w:r>
          </w:p>
        </w:tc>
      </w:tr>
      <w:tr w:rsidR="00F91460" w:rsidRPr="0088499C" w:rsidTr="00F91460">
        <w:trPr>
          <w:trHeight w:val="18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6.2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34,4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34,4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34,4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103,2</w:t>
            </w:r>
          </w:p>
        </w:tc>
      </w:tr>
      <w:tr w:rsidR="00F91460" w:rsidRPr="0088499C" w:rsidTr="00F91460">
        <w:trPr>
          <w:trHeight w:val="24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7«Реализация мероприятий по поддержке общественного проекта развитие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</w:tr>
      <w:tr w:rsidR="00F91460" w:rsidRPr="0088499C" w:rsidTr="00F91460">
        <w:trPr>
          <w:trHeight w:val="21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7.1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Поддержка решений референдумов (сходов) об использовании средств самообложения граждан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</w:tr>
      <w:tr w:rsidR="00F91460" w:rsidRPr="0088499C" w:rsidTr="00F91460">
        <w:trPr>
          <w:trHeight w:val="195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8 «Развитие культуры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1059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924,2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1280,3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6328,3</w:t>
            </w:r>
          </w:p>
        </w:tc>
      </w:tr>
      <w:tr w:rsidR="00F91460" w:rsidRPr="0088499C" w:rsidTr="00F91460">
        <w:trPr>
          <w:trHeight w:val="24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93</w:t>
            </w:r>
          </w:p>
        </w:tc>
      </w:tr>
      <w:tr w:rsidR="00F91460" w:rsidRPr="0088499C" w:rsidTr="00F91460">
        <w:trPr>
          <w:trHeight w:val="17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8.2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бюджет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1041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906,2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1262,3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1512,9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1512,9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6235,3</w:t>
            </w:r>
          </w:p>
        </w:tc>
      </w:tr>
      <w:tr w:rsidR="00F91460" w:rsidRPr="0088499C" w:rsidTr="00F91460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13021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12952,7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12876,8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72455,9</w:t>
            </w:r>
          </w:p>
        </w:tc>
      </w:tr>
    </w:tbl>
    <w:p w:rsidR="00F91460" w:rsidRPr="0088499C" w:rsidRDefault="00F91460" w:rsidP="00884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</w:p>
    <w:p w:rsidR="00F91460" w:rsidRPr="0088499C" w:rsidRDefault="00F91460" w:rsidP="0088499C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к муниципальной программе «Комплексное развитие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Самарской области на 2024-2028 годы»</w:t>
      </w:r>
    </w:p>
    <w:p w:rsidR="00F91460" w:rsidRPr="0088499C" w:rsidRDefault="00F91460" w:rsidP="0088499C">
      <w:pPr>
        <w:suppressAutoHyphens/>
        <w:spacing w:after="0" w:line="240" w:lineRule="auto"/>
        <w:ind w:left="9911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F91460" w:rsidRPr="0088499C" w:rsidRDefault="00F91460" w:rsidP="008849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Объем финансовых ресурсов, необходимых для реализации муниципальной программы «Комплексное развитие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Самарской области на 2024-2028 годы»</w:t>
      </w:r>
    </w:p>
    <w:p w:rsidR="00F91460" w:rsidRPr="0088499C" w:rsidRDefault="00F91460" w:rsidP="0088499C">
      <w:pPr>
        <w:spacing w:after="0" w:line="240" w:lineRule="auto"/>
        <w:ind w:right="4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10482" w:type="dxa"/>
        <w:tblInd w:w="-318" w:type="dxa"/>
        <w:tblLook w:val="04A0"/>
      </w:tblPr>
      <w:tblGrid>
        <w:gridCol w:w="960"/>
        <w:gridCol w:w="2727"/>
        <w:gridCol w:w="1255"/>
        <w:gridCol w:w="960"/>
        <w:gridCol w:w="1462"/>
        <w:gridCol w:w="1494"/>
        <w:gridCol w:w="1624"/>
      </w:tblGrid>
      <w:tr w:rsidR="00F91460" w:rsidRPr="0088499C" w:rsidTr="0088499C">
        <w:trPr>
          <w:trHeight w:val="9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  <w:proofErr w:type="gram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/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Направления финансирования</w:t>
            </w:r>
          </w:p>
        </w:tc>
        <w:tc>
          <w:tcPr>
            <w:tcW w:w="6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.р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уб.)</w:t>
            </w:r>
          </w:p>
        </w:tc>
      </w:tr>
      <w:tr w:rsidR="00F91460" w:rsidRPr="0088499C" w:rsidTr="0088499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2028</w:t>
            </w:r>
          </w:p>
        </w:tc>
      </w:tr>
      <w:tr w:rsidR="00F91460" w:rsidRPr="0088499C" w:rsidTr="0088499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</w:tr>
      <w:tr w:rsidR="00F91460" w:rsidRPr="0088499C" w:rsidTr="0088499C">
        <w:trPr>
          <w:trHeight w:val="17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Всего на реализацию программы, в т.ч.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12952,7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12876,8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</w:tr>
      <w:tr w:rsidR="00F91460" w:rsidRPr="0088499C" w:rsidTr="0088499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12883,2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12800,7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12710,8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16802,7</w:t>
            </w:r>
          </w:p>
        </w:tc>
      </w:tr>
      <w:tr w:rsidR="00F91460" w:rsidRPr="0088499C" w:rsidTr="0088499C">
        <w:trPr>
          <w:trHeight w:val="27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1. «Комплексное развитие системы жилищно-коммунального хозяйства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2189,9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2361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1756,2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</w:tr>
      <w:tr w:rsidR="00F91460" w:rsidRPr="0088499C" w:rsidTr="0088499C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2189,9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1756,2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1932,5</w:t>
            </w:r>
          </w:p>
        </w:tc>
      </w:tr>
      <w:tr w:rsidR="00F91460" w:rsidRPr="0088499C" w:rsidTr="0088499C">
        <w:trPr>
          <w:trHeight w:val="2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2. «Муниципальное управление в сельском поселении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3648,7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3512,8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3554,6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</w:tr>
      <w:tr w:rsidR="00F91460" w:rsidRPr="0088499C" w:rsidTr="0088499C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3510,9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3360,8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3388,6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3528,5</w:t>
            </w:r>
          </w:p>
        </w:tc>
      </w:tr>
      <w:tr w:rsidR="00F91460" w:rsidRPr="0088499C" w:rsidTr="0088499C">
        <w:trPr>
          <w:trHeight w:val="6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</w:tr>
      <w:tr w:rsidR="00F91460" w:rsidRPr="0088499C" w:rsidTr="0088499C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208,8</w:t>
            </w:r>
          </w:p>
        </w:tc>
      </w:tr>
      <w:tr w:rsidR="00F91460" w:rsidRPr="0088499C" w:rsidTr="0088499C">
        <w:trPr>
          <w:trHeight w:val="43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5895,7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6026,7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</w:tr>
      <w:tr w:rsidR="00F91460" w:rsidRPr="0088499C" w:rsidTr="0088499C">
        <w:trPr>
          <w:trHeight w:val="8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5728,7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5895,7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6026,7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9590,7</w:t>
            </w:r>
          </w:p>
        </w:tc>
      </w:tr>
      <w:tr w:rsidR="00F91460" w:rsidRPr="0088499C" w:rsidTr="0088499C">
        <w:trPr>
          <w:trHeight w:val="2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30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6 «Развитие физической культуры и спорта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</w:tr>
      <w:tr w:rsidR="00F91460" w:rsidRPr="0088499C" w:rsidTr="0088499C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9,8</w:t>
            </w:r>
          </w:p>
        </w:tc>
      </w:tr>
      <w:tr w:rsidR="00F91460" w:rsidRPr="0088499C" w:rsidTr="0088499C">
        <w:trPr>
          <w:trHeight w:val="23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7«Реализация мероприятий по поддержке общественного проекта развитие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17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Подпрограмма 8 «Развитие культуры на территории сельского поселения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Старый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Аманак</w:t>
            </w:r>
            <w:proofErr w:type="spellEnd"/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924,2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1280,3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</w:tr>
      <w:tr w:rsidR="00F91460" w:rsidRPr="0088499C" w:rsidTr="0088499C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областной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F91460" w:rsidRPr="0088499C" w:rsidTr="0088499C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 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924,2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1280,3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460" w:rsidRPr="0088499C" w:rsidRDefault="00F91460" w:rsidP="0088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1532,4</w:t>
            </w:r>
          </w:p>
        </w:tc>
      </w:tr>
    </w:tbl>
    <w:p w:rsidR="00F91460" w:rsidRPr="0088499C" w:rsidRDefault="00F91460" w:rsidP="0088499C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1460" w:rsidRPr="0088499C" w:rsidRDefault="00F91460" w:rsidP="0088499C">
      <w:pPr>
        <w:spacing w:line="240" w:lineRule="auto"/>
        <w:rPr>
          <w:sz w:val="18"/>
          <w:szCs w:val="18"/>
        </w:rPr>
      </w:pPr>
    </w:p>
    <w:p w:rsidR="00F91460" w:rsidRPr="0088499C" w:rsidRDefault="00F91460" w:rsidP="0088499C">
      <w:pPr>
        <w:spacing w:line="240" w:lineRule="auto"/>
        <w:rPr>
          <w:sz w:val="18"/>
          <w:szCs w:val="18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 О Б </w:t>
            </w:r>
            <w:proofErr w:type="gram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СТАРЫЙ АМАНАК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2024 </w:t>
            </w:r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125</w:t>
            </w:r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8F7" w:rsidRPr="0088499C" w:rsidTr="00683B6F">
        <w:tc>
          <w:tcPr>
            <w:tcW w:w="3984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884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</w:tcPr>
          <w:p w:rsidR="00AF68F7" w:rsidRPr="0088499C" w:rsidRDefault="00AF68F7" w:rsidP="0088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68F7" w:rsidRPr="0088499C" w:rsidRDefault="00AF68F7" w:rsidP="00884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F68F7" w:rsidRPr="0088499C" w:rsidRDefault="00AF68F7" w:rsidP="0088499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 внесении изменений в Решение Собрания</w:t>
      </w:r>
    </w:p>
    <w:p w:rsidR="00AF68F7" w:rsidRPr="0088499C" w:rsidRDefault="00AF68F7" w:rsidP="0088499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представителей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</w:p>
    <w:p w:rsidR="00AF68F7" w:rsidRPr="0088499C" w:rsidRDefault="00AF68F7" w:rsidP="0088499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29.01.2016 № 24 «Об установлении земельного налога </w:t>
      </w:r>
    </w:p>
    <w:p w:rsidR="00AF68F7" w:rsidRPr="0088499C" w:rsidRDefault="00AF68F7" w:rsidP="0088499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территории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</w:p>
    <w:p w:rsidR="00AF68F7" w:rsidRPr="006F6FDD" w:rsidRDefault="00AF68F7" w:rsidP="006F6FD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Самарской области»</w:t>
      </w:r>
    </w:p>
    <w:p w:rsidR="00AF68F7" w:rsidRPr="0088499C" w:rsidRDefault="00AF68F7" w:rsidP="0088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Рассмотрев Протест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Похвистневской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межрайонной прокуратуры от 31.01.2024г. № 07-03-2024/73-24-239, в соответствии с Федеральным законом от 31.07.2023 N 389-ФЗ "О внесении изменений в части первую и вторую Налогового кодекса Российской Федерации", руководствуясь Уставом </w: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"статус_поселения_в_родительном_падеже" </w:instrTex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8499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</w: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Рысайкино</w:t>
      </w:r>
      <w:proofErr w:type="spell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"район" </w:instrTex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8499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56352C"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Собрание представителей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AF68F7" w:rsidRPr="0088499C" w:rsidRDefault="00AF68F7" w:rsidP="0088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8849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И Л О:</w:t>
      </w:r>
    </w:p>
    <w:p w:rsidR="00AF68F7" w:rsidRPr="0088499C" w:rsidRDefault="00AF68F7" w:rsidP="0088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68F7" w:rsidRPr="0088499C" w:rsidRDefault="00AF68F7" w:rsidP="0088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</w:t>
      </w: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Решение Собрания представителей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29.01.2016 № 24 «Об установлении земельного налога на территории сельского поселения Старый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Самарской области»</w:t>
      </w:r>
      <w:r w:rsidRPr="0088499C">
        <w:rPr>
          <w:rFonts w:eastAsiaTheme="minorEastAsia"/>
          <w:sz w:val="18"/>
          <w:szCs w:val="18"/>
          <w:lang w:eastAsia="ru-RU"/>
        </w:rPr>
        <w:t xml:space="preserve"> </w:t>
      </w:r>
      <w:r w:rsidRPr="0088499C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 измен</w:t>
      </w:r>
      <w:proofErr w:type="gramStart"/>
      <w:r w:rsidRPr="0088499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  <w:proofErr w:type="gramEnd"/>
      <w:r w:rsidRPr="008849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8499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</w:t>
      </w:r>
      <w:proofErr w:type="gramEnd"/>
      <w:r w:rsidRPr="0088499C">
        <w:rPr>
          <w:rFonts w:ascii="Times New Roman" w:eastAsiaTheme="minorEastAsia" w:hAnsi="Times New Roman" w:cs="Times New Roman"/>
          <w:sz w:val="18"/>
          <w:szCs w:val="18"/>
          <w:lang w:eastAsia="ru-RU"/>
        </w:rPr>
        <w:t>т 24.05.2019г №113, от 26.09.2022г № 73, от 31.10.2022 г. № 75)</w:t>
      </w:r>
      <w:r w:rsidRPr="0088499C">
        <w:rPr>
          <w:rFonts w:eastAsiaTheme="minorEastAsia"/>
          <w:sz w:val="18"/>
          <w:szCs w:val="18"/>
          <w:lang w:eastAsia="ru-RU"/>
        </w:rPr>
        <w:t xml:space="preserve"> </w:t>
      </w: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следующее изменение:</w:t>
      </w:r>
    </w:p>
    <w:p w:rsidR="00AF68F7" w:rsidRPr="0088499C" w:rsidRDefault="00AF68F7" w:rsidP="0088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1.1. в часть 3. «Порядок и сроки уплаты налога и авансового платежа по налогу» в  пункте 3.2. заменить слова «последнего числа» на «28 числа»;</w:t>
      </w:r>
    </w:p>
    <w:p w:rsidR="00AF68F7" w:rsidRPr="0088499C" w:rsidRDefault="00AF68F7" w:rsidP="0088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1.2 в часть 3. «Порядок и сроки уплаты налога и авансового платежа по налогу» в  пункте 3.3. заменить слова «1 марта» на «28 февраля».</w:t>
      </w:r>
    </w:p>
    <w:p w:rsidR="00AF68F7" w:rsidRPr="0088499C" w:rsidRDefault="00AF68F7" w:rsidP="0088499C">
      <w:pPr>
        <w:widowControl w:val="0"/>
        <w:numPr>
          <w:ilvl w:val="1"/>
          <w:numId w:val="1"/>
        </w:numPr>
        <w:tabs>
          <w:tab w:val="num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 </w:t>
      </w:r>
      <w:r w:rsidRPr="0088499C">
        <w:rPr>
          <w:rFonts w:ascii="Times New Roman" w:eastAsiaTheme="minorEastAsia" w:hAnsi="Times New Roman"/>
          <w:sz w:val="18"/>
          <w:szCs w:val="18"/>
          <w:lang w:eastAsia="ru-RU"/>
        </w:rPr>
        <w:t>Опубликовать настоящее решение в газете «</w:t>
      </w:r>
      <w:proofErr w:type="spellStart"/>
      <w:r w:rsidRPr="0088499C">
        <w:rPr>
          <w:rFonts w:ascii="Times New Roman" w:eastAsiaTheme="minorEastAsia" w:hAnsi="Times New Roman"/>
          <w:sz w:val="18"/>
          <w:szCs w:val="18"/>
          <w:lang w:eastAsia="ru-RU"/>
        </w:rPr>
        <w:t>Аманакские</w:t>
      </w:r>
      <w:proofErr w:type="spellEnd"/>
      <w:r w:rsidRPr="0088499C">
        <w:rPr>
          <w:rFonts w:ascii="Times New Roman" w:eastAsiaTheme="minorEastAsia" w:hAnsi="Times New Roman"/>
          <w:sz w:val="18"/>
          <w:szCs w:val="18"/>
          <w:lang w:eastAsia="ru-RU"/>
        </w:rPr>
        <w:t xml:space="preserve"> вести» и разместить на официальном сайте поселения в сети Интернет.</w:t>
      </w:r>
    </w:p>
    <w:p w:rsidR="00AF68F7" w:rsidRPr="0088499C" w:rsidRDefault="00AF68F7" w:rsidP="008849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4. Настоящее Решение вступает в силу со дня его официального опубликования.</w:t>
      </w:r>
    </w:p>
    <w:p w:rsidR="00AF68F7" w:rsidRPr="0088499C" w:rsidRDefault="00AF68F7" w:rsidP="0088499C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spacing w:after="0" w:line="240" w:lineRule="auto"/>
        <w:rPr>
          <w:rFonts w:ascii="Times New Roman" w:eastAsia="Arial CYR" w:hAnsi="Times New Roman"/>
          <w:sz w:val="18"/>
          <w:szCs w:val="18"/>
          <w:lang w:eastAsia="ru-RU"/>
        </w:rPr>
      </w:pPr>
      <w:r w:rsidRPr="0088499C">
        <w:rPr>
          <w:rFonts w:ascii="Times New Roman" w:eastAsia="Arial CYR" w:hAnsi="Times New Roman"/>
          <w:sz w:val="18"/>
          <w:szCs w:val="18"/>
          <w:lang w:eastAsia="ru-RU"/>
        </w:rPr>
        <w:t xml:space="preserve">  Председатель Собрания  представителей </w:t>
      </w:r>
    </w:p>
    <w:p w:rsidR="00AF68F7" w:rsidRPr="0088499C" w:rsidRDefault="00AF68F7" w:rsidP="0088499C">
      <w:pPr>
        <w:autoSpaceDE w:val="0"/>
        <w:spacing w:after="0" w:line="240" w:lineRule="auto"/>
        <w:rPr>
          <w:rFonts w:ascii="Times New Roman" w:eastAsia="Arial CYR" w:hAnsi="Times New Roman"/>
          <w:sz w:val="18"/>
          <w:szCs w:val="18"/>
          <w:lang w:eastAsia="ru-RU"/>
        </w:rPr>
      </w:pPr>
      <w:r w:rsidRPr="0088499C">
        <w:rPr>
          <w:rFonts w:ascii="Times New Roman" w:eastAsia="Arial CYR" w:hAnsi="Times New Roman"/>
          <w:sz w:val="18"/>
          <w:szCs w:val="18"/>
          <w:lang w:eastAsia="ru-RU"/>
        </w:rPr>
        <w:t xml:space="preserve"> сельского поселения </w:t>
      </w:r>
      <w:proofErr w:type="gramStart"/>
      <w:r w:rsidRPr="0088499C">
        <w:rPr>
          <w:rFonts w:ascii="Times New Roman" w:eastAsia="Arial CYR" w:hAnsi="Times New Roman"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Arial CYR" w:hAnsi="Times New Roman"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Arial CYR" w:hAnsi="Times New Roman"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Arial CYR" w:hAnsi="Times New Roman"/>
          <w:sz w:val="18"/>
          <w:szCs w:val="18"/>
          <w:lang w:eastAsia="ru-RU"/>
        </w:rPr>
        <w:t xml:space="preserve">                                           Е.П. </w:t>
      </w:r>
      <w:proofErr w:type="spellStart"/>
      <w:r w:rsidRPr="0088499C">
        <w:rPr>
          <w:rFonts w:ascii="Times New Roman" w:eastAsia="Arial CYR" w:hAnsi="Times New Roman"/>
          <w:sz w:val="18"/>
          <w:szCs w:val="18"/>
          <w:lang w:eastAsia="ru-RU"/>
        </w:rPr>
        <w:t>Худанов</w:t>
      </w:r>
      <w:proofErr w:type="spellEnd"/>
      <w:r w:rsidRPr="0088499C">
        <w:rPr>
          <w:rFonts w:ascii="Times New Roman" w:eastAsia="Arial CYR" w:hAnsi="Times New Roman"/>
          <w:sz w:val="18"/>
          <w:szCs w:val="18"/>
          <w:lang w:eastAsia="ru-RU"/>
        </w:rPr>
        <w:t xml:space="preserve"> </w:t>
      </w:r>
    </w:p>
    <w:p w:rsidR="00AF68F7" w:rsidRPr="0088499C" w:rsidRDefault="00AF68F7" w:rsidP="0088499C">
      <w:pPr>
        <w:autoSpaceDE w:val="0"/>
        <w:spacing w:after="0" w:line="240" w:lineRule="auto"/>
        <w:rPr>
          <w:rFonts w:ascii="Times New Roman" w:eastAsia="Arial CYR" w:hAnsi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tabs>
          <w:tab w:val="left" w:pos="480"/>
          <w:tab w:val="left" w:pos="7455"/>
        </w:tabs>
        <w:autoSpaceDE w:val="0"/>
        <w:spacing w:line="240" w:lineRule="auto"/>
        <w:rPr>
          <w:rFonts w:ascii="Times New Roman" w:eastAsia="Arial CYR" w:hAnsi="Times New Roman"/>
          <w:bCs/>
          <w:sz w:val="18"/>
          <w:szCs w:val="18"/>
          <w:lang w:bidi="en-US"/>
        </w:rPr>
      </w:pPr>
      <w:r w:rsidRPr="0088499C">
        <w:rPr>
          <w:rFonts w:ascii="Times New Roman" w:eastAsia="Arial CYR" w:hAnsi="Times New Roman"/>
          <w:bCs/>
          <w:sz w:val="18"/>
          <w:szCs w:val="18"/>
          <w:lang w:bidi="en-US"/>
        </w:rPr>
        <w:t>Глава поселения                                                                               Т.А.Ефремова</w:t>
      </w:r>
    </w:p>
    <w:p w:rsidR="00AF68F7" w:rsidRPr="0088499C" w:rsidRDefault="00AF68F7" w:rsidP="0088499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</w:pP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>Приложение №1</w:t>
      </w: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>к  решению Собрания представителей</w:t>
      </w: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 xml:space="preserve">сельского поселения </w:t>
      </w:r>
      <w:proofErr w:type="gramStart"/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>Старый</w:t>
      </w:r>
      <w:proofErr w:type="gramEnd"/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 xml:space="preserve"> </w:t>
      </w:r>
      <w:proofErr w:type="spellStart"/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>Аманак</w:t>
      </w:r>
      <w:proofErr w:type="spellEnd"/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  <w:t>от 29.02.2016 № 24</w:t>
      </w: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color w:val="000000"/>
          <w:sz w:val="18"/>
          <w:szCs w:val="18"/>
          <w:lang w:bidi="en-US"/>
        </w:rPr>
      </w:pP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88499C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</w:t>
      </w:r>
    </w:p>
    <w:p w:rsidR="00AF68F7" w:rsidRPr="0088499C" w:rsidRDefault="00AF68F7" w:rsidP="0088499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Об установлении земельного налога на территории сельского поселения </w:t>
      </w:r>
      <w:proofErr w:type="gramStart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>Старый</w:t>
      </w:r>
      <w:proofErr w:type="gramEnd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>Аманак</w:t>
      </w:r>
      <w:proofErr w:type="spellEnd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</w:p>
    <w:p w:rsidR="00AF68F7" w:rsidRPr="0088499C" w:rsidRDefault="00AF68F7" w:rsidP="0088499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88499C">
        <w:rPr>
          <w:rFonts w:ascii="Times New Roman" w:eastAsia="Arial" w:hAnsi="Times New Roman" w:cs="Times New Roman"/>
          <w:sz w:val="18"/>
          <w:szCs w:val="18"/>
          <w:lang w:eastAsia="ar-SA"/>
        </w:rPr>
        <w:t>(АКТУАЛЬНАЯ РЕДАКЦИЯ)</w:t>
      </w:r>
    </w:p>
    <w:p w:rsidR="00AF68F7" w:rsidRPr="0088499C" w:rsidRDefault="00AF68F7" w:rsidP="0088499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1.1. </w:t>
      </w:r>
      <w:proofErr w:type="gram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val="en-US" w:bidi="en-US"/>
        </w:rPr>
        <w:t>N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  <w:proofErr w:type="gramEnd"/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1.2. Настоящее положение устанавливает, вводит в действие и прекращает действие на территории сельского поселения </w:t>
      </w:r>
      <w:proofErr w:type="gram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Старый</w:t>
      </w:r>
      <w:proofErr w:type="gram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</w:t>
      </w:r>
      <w:proofErr w:type="spell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Аманак</w:t>
      </w:r>
      <w:proofErr w:type="spell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муниципального района </w:t>
      </w:r>
      <w:proofErr w:type="spell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Похвистневский</w:t>
      </w:r>
      <w:proofErr w:type="spell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земельного налога, обязательного к уплате на территории сельского поселения Старый </w:t>
      </w:r>
      <w:proofErr w:type="spell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Аманак</w:t>
      </w:r>
      <w:proofErr w:type="spell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муниципального района </w:t>
      </w:r>
      <w:proofErr w:type="spell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Похвистневский</w:t>
      </w:r>
      <w:proofErr w:type="spell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Налоговые ставки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Налоговые ставки устанавливаются в размерах: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0,3 процента в отношении земельных участков: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занятых</w:t>
      </w:r>
      <w:proofErr w:type="gramEnd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(от 15.05.2019 № 103)</w:t>
      </w:r>
      <w:proofErr w:type="gramEnd"/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ограниченных в обороте в соответствии с </w:t>
      </w:r>
      <w:hyperlink r:id="rId5" w:history="1">
        <w:r w:rsidRPr="0088499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1,5 процента в отношении прочих земельных участков.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и сроки уплаты налога и авансового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платежа по налогу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Налогоплательщики-организации, 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исчисляют и уплачивают суммы авансовых платежей по налогу не позднее </w:t>
      </w:r>
      <w:r w:rsidRPr="0088499C">
        <w:rPr>
          <w:rFonts w:ascii="Times New Roman" w:eastAsia="Arial CYR" w:hAnsi="Times New Roman" w:cs="Arial CYR"/>
          <w:b/>
          <w:i/>
          <w:color w:val="000000"/>
          <w:sz w:val="18"/>
          <w:szCs w:val="18"/>
          <w:lang w:bidi="en-US"/>
        </w:rPr>
        <w:t>28 числа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месяца, следующего за каждым отчетным периодом, одну четвертую  соответствующей налоговой ставки процентной доли кадастровой стоимости земельного участка</w:t>
      </w:r>
      <w:proofErr w:type="gramStart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>.</w:t>
      </w:r>
      <w:proofErr w:type="gramEnd"/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</w:t>
      </w: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 09.12.2022 № 84)</w:t>
      </w:r>
    </w:p>
    <w:p w:rsidR="00AF68F7" w:rsidRPr="0088499C" w:rsidRDefault="00AF68F7" w:rsidP="008849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Сумма налога, определяемая как разница между суммой налога, исчисленной по ставкам, предусмотренным в пункте 2 настоящего постановления, и суммами авансовых платежей, уплачивается по итогам налогового периода не позднее </w:t>
      </w:r>
      <w:r w:rsidRPr="0088499C">
        <w:rPr>
          <w:rFonts w:ascii="Times New Roman" w:eastAsia="Arial CYR" w:hAnsi="Times New Roman" w:cs="Arial CYR"/>
          <w:b/>
          <w:i/>
          <w:color w:val="000000"/>
          <w:sz w:val="18"/>
          <w:szCs w:val="18"/>
          <w:lang w:bidi="en-US"/>
        </w:rPr>
        <w:t>28 февраля</w:t>
      </w:r>
      <w:r w:rsidRPr="0088499C">
        <w:rPr>
          <w:rFonts w:ascii="Times New Roman" w:eastAsia="Arial CYR" w:hAnsi="Times New Roman" w:cs="Arial CYR"/>
          <w:color w:val="000000"/>
          <w:sz w:val="18"/>
          <w:szCs w:val="18"/>
          <w:lang w:bidi="en-US"/>
        </w:rPr>
        <w:t xml:space="preserve"> года, следующего за истекшим налоговым периодом.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Налоговые льготы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Налогоплательщики, имеющие право на уменьшение налоговой базы по  налогу, обязаны представить документы, подтверждающие такое право, в налоговый орган не позднее 1 февраля года, следующего за истекшим налоговым периодом.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Освобождаются от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налогооблажения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территории сельского поселения </w:t>
      </w:r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Старый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</w:p>
    <w:p w:rsidR="00AF68F7" w:rsidRPr="0088499C" w:rsidRDefault="00AF68F7" w:rsidP="0088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граждане Российской Федерации, призванные на военную службу по мобилизации в Вооруженные Силы Российской Федерации</w:t>
      </w:r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</w:t>
      </w:r>
      <w:proofErr w:type="spellStart"/>
      <w:proofErr w:type="gramStart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</w:t>
      </w:r>
      <w:proofErr w:type="gram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зм</w:t>
      </w:r>
      <w:proofErr w:type="spellEnd"/>
      <w:r w:rsidRPr="008849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от 20.10.2022 № 79)</w:t>
      </w:r>
    </w:p>
    <w:p w:rsidR="00AF68F7" w:rsidRPr="0088499C" w:rsidRDefault="00AF68F7" w:rsidP="0088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AF68F7" w:rsidRPr="0088499C" w:rsidRDefault="00AF68F7" w:rsidP="0088499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</w:pPr>
    </w:p>
    <w:p w:rsidR="00AF68F7" w:rsidRPr="0088499C" w:rsidRDefault="00AF68F7" w:rsidP="0088499C">
      <w:pPr>
        <w:spacing w:line="240" w:lineRule="auto"/>
        <w:rPr>
          <w:sz w:val="18"/>
          <w:szCs w:val="18"/>
        </w:rPr>
      </w:pP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t>В Самарской области полицейские совместно с представителями Общественных советов проводят профилактические встречи в учебных организациях.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В муниципальном районе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, инспектор отделения по делам несовершеннолетних младший лейтенант полиции Екатерина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Нарушева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совместно с председателем Общественного совета при межмуниципальном отделе Татьяной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Вобликовой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, напомнили родителям о детской безопасности на общешкольном собрании </w:t>
      </w:r>
      <w:proofErr w:type="gramStart"/>
      <w:r w:rsidRPr="0088499C">
        <w:rPr>
          <w:rFonts w:ascii="Calibri" w:eastAsia="等线" w:hAnsi="Calibri" w:cs="Arial"/>
          <w:sz w:val="18"/>
          <w:szCs w:val="18"/>
          <w:lang w:eastAsia="ru-RU"/>
        </w:rPr>
        <w:t>с</w:t>
      </w:r>
      <w:proofErr w:type="gram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. Среднее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Аверкино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. 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В первую очередь, инспектор обратила внимание на то, что несовершеннолетним необходимо соблюдать установленные ограничения пребывания на улице и предупредила о возможном вовлечении детей в незаконную деятельность по распространению наркотиков и мошенничеству. Рассказала, что в основном злоумышленники находят несовершеннолетних в социальных сетях или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мессенджерах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и под ложным предлогом убеждают детей быть посредниками в передачи денежных средств жертвы. </w:t>
      </w:r>
      <w:proofErr w:type="gramStart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Кроме того, младший лейтенант сообщила, что жертвой мошеннических действий могут стать и сами дети на торговых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интернет-площадках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, при использовании «Пушкинских карт», на платформах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онлайн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игр, где мошенники обычно используют «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фишинг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>» - программы, с помощью которых пытаются выяснить, персональную информацию, используя разные «манипуляции», такие как: просьбы о помощи, сообщения о выигрышах.</w:t>
      </w:r>
      <w:proofErr w:type="gram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Получив доступ к важной информации, злоумышленники могут списывать деньги со счета телефона, воровать пароли от прокаченных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аккаунтов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(потом такие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аккаунты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продают за большую сумму) и подсаживают школьников </w:t>
      </w:r>
      <w:proofErr w:type="gramStart"/>
      <w:r w:rsidRPr="0088499C">
        <w:rPr>
          <w:rFonts w:ascii="Calibri" w:eastAsia="等线" w:hAnsi="Calibri" w:cs="Arial"/>
          <w:sz w:val="18"/>
          <w:szCs w:val="18"/>
          <w:lang w:eastAsia="ru-RU"/>
        </w:rPr>
        <w:t>на</w:t>
      </w:r>
      <w:proofErr w:type="gram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платные SMS в игровых чатах. Екатерина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Нарушева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сообщила, что ребенок обязательно должен знать, что никому нельзя сообщать и публиковать в интернете: Ф.И.О., домашний адрес, реквизиты карт, пароли,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пин-коды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и другие личные данные. 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Также, младший лейтенант напомнила об административной и уголовной ответственности несовершеннолетних и их родителей за ряд преступлений и правонарушений, которые </w:t>
      </w:r>
      <w:proofErr w:type="gramStart"/>
      <w:r w:rsidRPr="0088499C">
        <w:rPr>
          <w:rFonts w:ascii="Calibri" w:eastAsia="等线" w:hAnsi="Calibri" w:cs="Arial"/>
          <w:sz w:val="18"/>
          <w:szCs w:val="18"/>
          <w:lang w:eastAsia="ru-RU"/>
        </w:rPr>
        <w:t>в последствии</w:t>
      </w:r>
      <w:proofErr w:type="gram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могут отрицательно повлиять на трудоустройство и жизнь в целом. 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Татьяна </w:t>
      </w:r>
      <w:proofErr w:type="spellStart"/>
      <w:r w:rsidRPr="0088499C">
        <w:rPr>
          <w:rFonts w:ascii="Calibri" w:eastAsia="等线" w:hAnsi="Calibri" w:cs="Arial"/>
          <w:sz w:val="18"/>
          <w:szCs w:val="18"/>
          <w:lang w:eastAsia="ru-RU"/>
        </w:rPr>
        <w:t>Вобликова</w:t>
      </w:r>
      <w:proofErr w:type="spell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порекомендовала родителям усилить </w:t>
      </w:r>
      <w:proofErr w:type="gramStart"/>
      <w:r w:rsidRPr="0088499C">
        <w:rPr>
          <w:rFonts w:ascii="Calibri" w:eastAsia="等线" w:hAnsi="Calibri" w:cs="Arial"/>
          <w:sz w:val="18"/>
          <w:szCs w:val="18"/>
          <w:lang w:eastAsia="ru-RU"/>
        </w:rPr>
        <w:t>контроль за</w:t>
      </w:r>
      <w:proofErr w:type="gramEnd"/>
      <w:r w:rsidRPr="0088499C">
        <w:rPr>
          <w:rFonts w:ascii="Calibri" w:eastAsia="等线" w:hAnsi="Calibri" w:cs="Arial"/>
          <w:sz w:val="18"/>
          <w:szCs w:val="18"/>
          <w:lang w:eastAsia="ru-RU"/>
        </w:rPr>
        <w:t xml:space="preserve"> детьми и обращать внимание на изменение поведения у подростков, а также чаще интересоваться занятиями, увлечениями, кругом общения и эмоциональным состоянием ребенка. 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rFonts w:ascii="Calibri" w:eastAsia="等线" w:hAnsi="Calibri" w:cs="Arial"/>
          <w:sz w:val="18"/>
          <w:szCs w:val="18"/>
          <w:lang w:eastAsia="ru-RU"/>
        </w:rPr>
        <w:lastRenderedPageBreak/>
        <w:t xml:space="preserve"> «Доверительные отношения между родителями и детьми – залог успешного будущего подрастающего поколения!», - отметила председатель Общественного совета.</w:t>
      </w:r>
    </w:p>
    <w:p w:rsidR="000B2946" w:rsidRPr="0088499C" w:rsidRDefault="000B2946" w:rsidP="0088499C">
      <w:pPr>
        <w:spacing w:line="240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88499C">
        <w:rPr>
          <w:noProof/>
          <w:sz w:val="18"/>
          <w:szCs w:val="18"/>
          <w:lang w:eastAsia="ru-RU"/>
        </w:rPr>
        <w:drawing>
          <wp:inline distT="0" distB="0" distL="0" distR="0">
            <wp:extent cx="1617165" cy="1076325"/>
            <wp:effectExtent l="19050" t="0" r="2085" b="0"/>
            <wp:docPr id="1" name="Рисунок 1" descr="C:\Users\Админ\AppData\Local\Microsoft\Windows\Temporary Internet Files\Content.Word\17079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170792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46" w:rsidRPr="0088499C" w:rsidRDefault="000B2946" w:rsidP="0088499C">
      <w:pPr>
        <w:spacing w:line="240" w:lineRule="auto"/>
        <w:rPr>
          <w:sz w:val="18"/>
          <w:szCs w:val="18"/>
        </w:rPr>
      </w:pPr>
    </w:p>
    <w:p w:rsidR="00BE791F" w:rsidRPr="0088499C" w:rsidRDefault="00BE791F" w:rsidP="0088499C">
      <w:pPr>
        <w:spacing w:line="240" w:lineRule="auto"/>
        <w:rPr>
          <w:sz w:val="18"/>
          <w:szCs w:val="18"/>
        </w:rPr>
      </w:pPr>
      <w:r w:rsidRPr="0088499C">
        <w:rPr>
          <w:noProof/>
          <w:sz w:val="18"/>
          <w:szCs w:val="18"/>
          <w:lang w:eastAsia="ru-RU"/>
        </w:rPr>
        <w:drawing>
          <wp:inline distT="0" distB="0" distL="0" distR="0">
            <wp:extent cx="2990850" cy="1961998"/>
            <wp:effectExtent l="19050" t="0" r="0" b="0"/>
            <wp:docPr id="2" name="Рисунок 1" descr="C:\Users\Админ\Pictures\новые 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новые вакан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63" cy="196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1F" w:rsidRPr="0088499C" w:rsidRDefault="00BE791F" w:rsidP="0088499C">
      <w:pPr>
        <w:spacing w:line="240" w:lineRule="auto"/>
        <w:rPr>
          <w:sz w:val="18"/>
          <w:szCs w:val="18"/>
        </w:rPr>
      </w:pPr>
    </w:p>
    <w:p w:rsidR="006C6A43" w:rsidRPr="0088499C" w:rsidRDefault="006C6A43" w:rsidP="0088499C">
      <w:pPr>
        <w:spacing w:line="240" w:lineRule="auto"/>
        <w:rPr>
          <w:sz w:val="18"/>
          <w:szCs w:val="18"/>
        </w:rPr>
      </w:pPr>
      <w:r w:rsidRPr="0088499C">
        <w:rPr>
          <w:noProof/>
          <w:sz w:val="18"/>
          <w:szCs w:val="18"/>
          <w:lang w:eastAsia="ru-RU"/>
        </w:rPr>
        <w:drawing>
          <wp:inline distT="0" distB="0" distL="0" distR="0">
            <wp:extent cx="2314575" cy="3199351"/>
            <wp:effectExtent l="19050" t="0" r="9525" b="0"/>
            <wp:docPr id="3" name="Рисунок 2" descr="C:\Users\Админ\Pictures\госусуги РЭ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госусуги РЭ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9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E8" w:rsidRPr="0088499C" w:rsidRDefault="00D85EE8" w:rsidP="0088499C">
      <w:pPr>
        <w:spacing w:line="240" w:lineRule="auto"/>
        <w:rPr>
          <w:sz w:val="18"/>
          <w:szCs w:val="18"/>
        </w:rPr>
      </w:pPr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В Самарской области полицейские задержали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подозреваемую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в незаконном обороте наркотических средств</w:t>
      </w:r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Сотрудниками межмуниципального отдела МВД России «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получив информацию о неизвестной подозрительной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женщине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замеченной в частном секторе по ул. Сенная и ул. Рокоссовского, организовали оперативные мероприятия, в ходе которых задержали 37-летнюю гражданку.</w:t>
      </w:r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личного досмотра задержанной в присутствии понятых сотрудники полиции обнаружили и изъяли 40 свертков с порошкообразным веществом. Изъятое сотрудники полиции направили на исследование в ЭКЦ ГУ МВД России по Самарской области. Согласно заключению эксперта, в свертках находилось 3 вида наркотических средств: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метилэфедрон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метадон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метилендиоксиметамфетамин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общей массой свыше 65 грамм, что законодатель относит к крупному размеру.</w:t>
      </w:r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Сотрудниками правоохранительных органов установлено, что ранее уроженка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Уфы привлекалась к уголовной ответственности за аналогичное преступление, где судом ей было назначено наказание в виде 10 лет лишения свободы, а в 2022 году освободилась условно-досрочно, отбыв в колонии 7 лет.</w:t>
      </w:r>
      <w:bookmarkStart w:id="0" w:name="_GoBack"/>
      <w:bookmarkEnd w:id="0"/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Женщина пояснила полицейским, что после освобождения из мест лишения свободы она нуждалась в деньгах, поэтому решила вновь заняться преступной деятельностью и в одном из 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мессенджеров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нашла канал, распространяющий наркотические средства и написала администратору сообщества с просьбой о трудоустройстве,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последствии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сбытчики обещали женщине большую сумму за незаконную деятельность. Наркотики для сбыта подозреваемая получила, подняв закладку в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городе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Самара и впоследствии планировала распространять незаконные вещества на территории Самарской и Оренбургской областей. На территории города Похвистнево женщина успела сделать 33 закладки.</w:t>
      </w:r>
    </w:p>
    <w:p w:rsidR="00D85EE8" w:rsidRPr="0088499C" w:rsidRDefault="00D85EE8" w:rsidP="00884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в отношении подозреваемой следственным отделением межмуниципального отдела МВД России «</w:t>
      </w:r>
      <w:proofErr w:type="spell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признакам преступлений, предусмотренных по </w:t>
      </w:r>
      <w:proofErr w:type="gramStart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8849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.3 ст.30 УК, п. «г» ч.4 ст.228.1 УК РФ возбуждено уголовное дело. Судом, по ходатайству органа следствия, женщине избрана мера пресечения в виде заключения под стражу. Полицейские устанавливают ее причастность к аналогичным преступлениям, а также каналы поступления наркотиков на территорию района и лиц, причастных к противоправной деятельности. Следствие продолжается. </w:t>
      </w:r>
    </w:p>
    <w:p w:rsidR="00D85EE8" w:rsidRPr="00D85EE8" w:rsidRDefault="00D85EE8" w:rsidP="00D85E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85EE8" w:rsidRDefault="00D85EE8">
      <w:r>
        <w:rPr>
          <w:noProof/>
          <w:lang w:eastAsia="ru-RU"/>
        </w:rPr>
        <w:drawing>
          <wp:inline distT="0" distB="0" distL="0" distR="0">
            <wp:extent cx="2109223" cy="1581150"/>
            <wp:effectExtent l="19050" t="0" r="5327" b="0"/>
            <wp:docPr id="4" name="Рисунок 1" descr="C:\Users\Админ\AppData\Local\Microsoft\Windows\Temporary Internet Files\Content.Word\IMG_91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917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2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9B" w:rsidRDefault="00B9699B"/>
    <w:p w:rsidR="00B9699B" w:rsidRDefault="00B9699B"/>
    <w:tbl>
      <w:tblPr>
        <w:tblpPr w:leftFromText="180" w:rightFromText="180" w:bottomFromText="200" w:vertAnchor="text" w:horzAnchor="margin" w:tblpXSpec="center" w:tblpY="376"/>
        <w:tblW w:w="10170" w:type="dxa"/>
        <w:tblLayout w:type="fixed"/>
        <w:tblLook w:val="00A0"/>
      </w:tblPr>
      <w:tblGrid>
        <w:gridCol w:w="10170"/>
      </w:tblGrid>
      <w:tr w:rsidR="00B9699B" w:rsidRPr="00357EB3" w:rsidTr="009A009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9B" w:rsidRPr="00357EB3" w:rsidRDefault="00B9699B" w:rsidP="009A0093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B9699B" w:rsidRPr="00357EB3" w:rsidRDefault="00B9699B" w:rsidP="009A009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B9699B" w:rsidRPr="00357EB3" w:rsidRDefault="00B9699B" w:rsidP="009A009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B9699B" w:rsidRPr="00357EB3" w:rsidRDefault="00B9699B" w:rsidP="009A009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  <w:tr w:rsidR="00B9699B" w:rsidRPr="00357EB3" w:rsidTr="009A009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9B" w:rsidRPr="00357EB3" w:rsidRDefault="00B9699B" w:rsidP="009A0093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9699B" w:rsidRPr="00357EB3" w:rsidRDefault="00B9699B" w:rsidP="009A0093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</w:tbl>
    <w:p w:rsidR="00B9699B" w:rsidRDefault="00B9699B"/>
    <w:sectPr w:rsidR="00B9699B" w:rsidSect="00182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703806"/>
    <w:multiLevelType w:val="multilevel"/>
    <w:tmpl w:val="F0EAE3F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2E6349D"/>
    <w:multiLevelType w:val="multilevel"/>
    <w:tmpl w:val="2C44BB18"/>
    <w:lvl w:ilvl="0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5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4D9B"/>
    <w:multiLevelType w:val="hybridMultilevel"/>
    <w:tmpl w:val="654C6EF4"/>
    <w:lvl w:ilvl="0" w:tplc="B2B09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5D"/>
    <w:rsid w:val="000135CE"/>
    <w:rsid w:val="000B2946"/>
    <w:rsid w:val="00106BCD"/>
    <w:rsid w:val="00182B5D"/>
    <w:rsid w:val="00234E53"/>
    <w:rsid w:val="00337393"/>
    <w:rsid w:val="003A580A"/>
    <w:rsid w:val="005101B4"/>
    <w:rsid w:val="0056352C"/>
    <w:rsid w:val="005D3E09"/>
    <w:rsid w:val="006C6A43"/>
    <w:rsid w:val="006F6FDD"/>
    <w:rsid w:val="0088499C"/>
    <w:rsid w:val="00AF68F7"/>
    <w:rsid w:val="00B9699B"/>
    <w:rsid w:val="00BE791F"/>
    <w:rsid w:val="00C47738"/>
    <w:rsid w:val="00D461A2"/>
    <w:rsid w:val="00D63B30"/>
    <w:rsid w:val="00D85EE8"/>
    <w:rsid w:val="00EA5167"/>
    <w:rsid w:val="00F9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paragraph" w:styleId="1">
    <w:name w:val="heading 1"/>
    <w:basedOn w:val="a"/>
    <w:next w:val="a"/>
    <w:link w:val="10"/>
    <w:uiPriority w:val="9"/>
    <w:qFormat/>
    <w:rsid w:val="00F914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9146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2B5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46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46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91460"/>
  </w:style>
  <w:style w:type="paragraph" w:customStyle="1" w:styleId="conspluscell">
    <w:name w:val="conspluscell"/>
    <w:basedOn w:val="a"/>
    <w:rsid w:val="00F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91460"/>
    <w:rPr>
      <w:rFonts w:cs="Times New Roman"/>
      <w:b/>
      <w:bCs/>
    </w:rPr>
  </w:style>
  <w:style w:type="paragraph" w:customStyle="1" w:styleId="consplusnormal">
    <w:name w:val="consplusnormal"/>
    <w:basedOn w:val="a"/>
    <w:rsid w:val="00F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F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F9146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F91460"/>
    <w:rPr>
      <w:rFonts w:cs="Times New Roman"/>
      <w:color w:val="800080"/>
      <w:u w:val="single"/>
    </w:rPr>
  </w:style>
  <w:style w:type="paragraph" w:customStyle="1" w:styleId="ConsPlusNormal0">
    <w:name w:val="ConsPlusNormal"/>
    <w:rsid w:val="00F91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1460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F91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rsid w:val="00F91460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9146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F9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qFormat/>
    <w:rsid w:val="00F914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91460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91460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F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F91460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3">
    <w:name w:val="Обычный (веб)1"/>
    <w:basedOn w:val="a"/>
    <w:uiPriority w:val="99"/>
    <w:rsid w:val="00F9146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бычный 1 Знак"/>
    <w:link w:val="15"/>
    <w:locked/>
    <w:rsid w:val="00F9146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Обычный 1"/>
    <w:basedOn w:val="a"/>
    <w:link w:val="14"/>
    <w:rsid w:val="00F91460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5">
    <w:name w:val="Знак Знак5"/>
    <w:locked/>
    <w:rsid w:val="00F91460"/>
    <w:rPr>
      <w:rFonts w:ascii="Arial" w:hAnsi="Arial"/>
      <w:b/>
      <w:bCs/>
      <w:kern w:val="32"/>
      <w:sz w:val="32"/>
      <w:szCs w:val="32"/>
      <w:lang w:eastAsia="ru-RU" w:bidi="ar-SA"/>
    </w:rPr>
  </w:style>
  <w:style w:type="table" w:styleId="ad">
    <w:name w:val="Table Grid"/>
    <w:basedOn w:val="a1"/>
    <w:uiPriority w:val="59"/>
    <w:rsid w:val="00F914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BD31A42E72C1C4F952FC47FF5A2D2358063AC6B13C9A5B3778014AC16C81309709C5728F00C006iAx6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4837</Words>
  <Characters>27575</Characters>
  <Application>Microsoft Office Word</Application>
  <DocSecurity>0</DocSecurity>
  <Lines>229</Lines>
  <Paragraphs>64</Paragraphs>
  <ScaleCrop>false</ScaleCrop>
  <Company/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2024-02-16T05:04:00Z</dcterms:created>
  <dcterms:modified xsi:type="dcterms:W3CDTF">2024-03-06T06:39:00Z</dcterms:modified>
</cp:coreProperties>
</file>