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6" w:rsidRPr="00FC4ACE" w:rsidRDefault="00A77246" w:rsidP="00436C2D">
      <w:pPr>
        <w:tabs>
          <w:tab w:val="left" w:pos="2235"/>
        </w:tabs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7246" w:rsidRDefault="004902C7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6F6F">
        <w:rPr>
          <w:b/>
          <w:sz w:val="28"/>
          <w:szCs w:val="28"/>
        </w:rPr>
        <w:t>21</w:t>
      </w:r>
      <w:r w:rsidR="00A77246">
        <w:rPr>
          <w:b/>
          <w:sz w:val="28"/>
          <w:szCs w:val="28"/>
        </w:rPr>
        <w:t>.0</w:t>
      </w:r>
      <w:r w:rsidR="002D6F6F">
        <w:rPr>
          <w:b/>
          <w:sz w:val="28"/>
          <w:szCs w:val="28"/>
        </w:rPr>
        <w:t>6</w:t>
      </w:r>
      <w:r w:rsidR="00A77246">
        <w:rPr>
          <w:b/>
          <w:sz w:val="28"/>
          <w:szCs w:val="28"/>
        </w:rPr>
        <w:t>.202</w:t>
      </w:r>
      <w:r w:rsidR="002D6F6F">
        <w:rPr>
          <w:b/>
          <w:sz w:val="28"/>
          <w:szCs w:val="28"/>
        </w:rPr>
        <w:t>2</w:t>
      </w:r>
      <w:r w:rsidR="00A77246">
        <w:rPr>
          <w:b/>
          <w:sz w:val="28"/>
          <w:szCs w:val="28"/>
        </w:rPr>
        <w:t>г</w:t>
      </w:r>
      <w:r w:rsidR="002D6F6F">
        <w:rPr>
          <w:b/>
          <w:sz w:val="28"/>
          <w:szCs w:val="28"/>
        </w:rPr>
        <w:t xml:space="preserve"> </w:t>
      </w:r>
      <w:r w:rsidR="00A77246">
        <w:rPr>
          <w:b/>
          <w:sz w:val="28"/>
          <w:szCs w:val="28"/>
        </w:rPr>
        <w:t xml:space="preserve">№ </w:t>
      </w:r>
      <w:r w:rsidR="002D6F6F">
        <w:rPr>
          <w:b/>
          <w:sz w:val="28"/>
          <w:szCs w:val="28"/>
        </w:rPr>
        <w:t>47</w:t>
      </w:r>
    </w:p>
    <w:p w:rsidR="00A77246" w:rsidRDefault="00A77246" w:rsidP="003F2810">
      <w:pPr>
        <w:jc w:val="both"/>
        <w:rPr>
          <w:b/>
          <w:sz w:val="16"/>
          <w:szCs w:val="16"/>
        </w:rPr>
      </w:pP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 xml:space="preserve">«Об утверждении Программы </w:t>
      </w:r>
      <w:proofErr w:type="gramStart"/>
      <w:r w:rsidRPr="002416F3">
        <w:rPr>
          <w:bCs/>
          <w:color w:val="000000"/>
          <w:sz w:val="20"/>
          <w:szCs w:val="20"/>
        </w:rPr>
        <w:t>комплексного</w:t>
      </w:r>
      <w:proofErr w:type="gramEnd"/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proofErr w:type="gramStart"/>
      <w:r>
        <w:rPr>
          <w:bCs/>
          <w:color w:val="000000"/>
          <w:sz w:val="20"/>
          <w:szCs w:val="20"/>
        </w:rPr>
        <w:t>Старый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proofErr w:type="gramStart"/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>«О направлении средств выделенных</w:t>
      </w:r>
      <w:proofErr w:type="gramEnd"/>
      <w:r w:rsidRPr="004A28A5">
        <w:rPr>
          <w:color w:val="000000"/>
        </w:rPr>
        <w:t xml:space="preserve">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</w:t>
      </w:r>
      <w:proofErr w:type="gramStart"/>
      <w:r w:rsidRPr="004A28A5">
        <w:rPr>
          <w:color w:val="000000"/>
        </w:rPr>
        <w:t>из</w:t>
      </w:r>
      <w:proofErr w:type="gramEnd"/>
      <w:r w:rsidRPr="004A28A5">
        <w:rPr>
          <w:color w:val="000000"/>
        </w:rPr>
        <w:t xml:space="preserve">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</w:t>
      </w:r>
      <w:proofErr w:type="gramStart"/>
      <w:r w:rsidRPr="004A28A5">
        <w:rPr>
          <w:bCs/>
          <w:color w:val="000000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4A28A5"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Старый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2016 году – 21,48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2017 году – 1,55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2018 году – 2,17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2019 году – 3,97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-1,01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  <w:proofErr w:type="spellEnd"/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2023-2026 годах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5D3014">
              <w:rPr>
                <w:rFonts w:ascii="Times New Roman" w:hAnsi="Times New Roman"/>
                <w:b/>
                <w:color w:val="000000"/>
                <w:sz w:val="2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,1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 xml:space="preserve">Финансирование из бюджета МО ежегодно уточняется при </w:t>
            </w:r>
            <w:r>
              <w:rPr>
                <w:bCs/>
                <w:iCs/>
                <w:sz w:val="22"/>
                <w:szCs w:val="22"/>
              </w:rPr>
              <w:lastRenderedPageBreak/>
              <w:t>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lastRenderedPageBreak/>
        <w:t xml:space="preserve"> 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4C2340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</w:t>
      </w:r>
      <w:proofErr w:type="gramStart"/>
      <w:r w:rsidRPr="00FC4ACE">
        <w:rPr>
          <w:sz w:val="28"/>
          <w:szCs w:val="28"/>
        </w:rPr>
        <w:t xml:space="preserve">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  <w:proofErr w:type="gramEnd"/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>, руб.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A77246" w:rsidTr="00EB3CE0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A77246" w:rsidTr="00EB3CE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A77246" w:rsidTr="00EB3CE0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2D6F6F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2D6F6F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5D3014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7246">
              <w:rPr>
                <w:color w:val="000000"/>
              </w:rPr>
              <w:t>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5D3014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D6F6F">
              <w:rPr>
                <w:color w:val="000000"/>
              </w:rPr>
              <w:t>,33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7246" w:rsidTr="00EB3CE0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246" w:rsidRDefault="00A77246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46" w:rsidRDefault="00A77246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9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81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549"/>
        <w:gridCol w:w="48"/>
        <w:gridCol w:w="1330"/>
        <w:gridCol w:w="1403"/>
        <w:gridCol w:w="2806"/>
        <w:gridCol w:w="1052"/>
        <w:gridCol w:w="876"/>
        <w:gridCol w:w="876"/>
        <w:gridCol w:w="1052"/>
        <w:gridCol w:w="1052"/>
        <w:gridCol w:w="1052"/>
        <w:gridCol w:w="1229"/>
        <w:gridCol w:w="1236"/>
        <w:gridCol w:w="1236"/>
      </w:tblGrid>
      <w:tr w:rsidR="005D3014" w:rsidRPr="00780B8D" w:rsidTr="00A54645">
        <w:trPr>
          <w:trHeight w:val="36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014" w:rsidRPr="00B702CF" w:rsidRDefault="005D3014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702CF">
              <w:rPr>
                <w:sz w:val="16"/>
                <w:szCs w:val="16"/>
              </w:rPr>
              <w:t>р</w:t>
            </w:r>
            <w:proofErr w:type="gramEnd"/>
            <w:r w:rsidRPr="00B702CF">
              <w:rPr>
                <w:sz w:val="16"/>
                <w:szCs w:val="16"/>
              </w:rPr>
              <w:t>ублей</w:t>
            </w:r>
            <w:proofErr w:type="spellEnd"/>
            <w:r w:rsidRPr="00B702CF">
              <w:rPr>
                <w:sz w:val="16"/>
                <w:szCs w:val="16"/>
              </w:rPr>
              <w:t xml:space="preserve"> </w:t>
            </w:r>
          </w:p>
        </w:tc>
      </w:tr>
      <w:tr w:rsidR="002D6F6F" w:rsidRPr="00780B8D" w:rsidTr="00390648">
        <w:trPr>
          <w:trHeight w:val="318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6F" w:rsidRPr="00B702CF" w:rsidRDefault="002D6F6F" w:rsidP="00EB3CE0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2023-2026</w:t>
            </w:r>
          </w:p>
        </w:tc>
      </w:tr>
      <w:tr w:rsidR="002D6F6F" w:rsidRPr="00780B8D" w:rsidTr="00390648">
        <w:trPr>
          <w:trHeight w:val="3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Pr="00B702C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6F6F" w:rsidRDefault="002D6F6F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6F6F" w:rsidRPr="00780B8D" w:rsidTr="002D6F6F">
        <w:trPr>
          <w:trHeight w:val="331"/>
        </w:trPr>
        <w:tc>
          <w:tcPr>
            <w:tcW w:w="133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6F6F" w:rsidRPr="00780B8D" w:rsidRDefault="002D6F6F" w:rsidP="00CF51ED">
            <w:pPr>
              <w:jc w:val="center"/>
              <w:rPr>
                <w:b/>
                <w:bCs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>
              <w:rPr>
                <w:sz w:val="18"/>
                <w:szCs w:val="18"/>
              </w:rPr>
              <w:t>Старый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roofErr w:type="gramStart"/>
            <w:r w:rsidRPr="00802F83">
              <w:rPr>
                <w:sz w:val="18"/>
                <w:szCs w:val="18"/>
              </w:rPr>
              <w:t>с</w:t>
            </w:r>
            <w:proofErr w:type="gramEnd"/>
            <w:r w:rsidRPr="00802F83">
              <w:rPr>
                <w:sz w:val="18"/>
                <w:szCs w:val="18"/>
              </w:rPr>
              <w:t xml:space="preserve">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Ремонт улично-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енина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4247E0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sz w:val="18"/>
                <w:szCs w:val="18"/>
              </w:rPr>
              <w:t xml:space="preserve"> от центра (пересечение с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) до д.№67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153DC4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153DC4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C9055B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с.Новый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265B72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 xml:space="preserve">обочин </w:t>
            </w:r>
            <w:proofErr w:type="spellStart"/>
            <w:r w:rsidRPr="003F2F0C">
              <w:rPr>
                <w:sz w:val="18"/>
                <w:szCs w:val="18"/>
              </w:rPr>
              <w:t>ул.Центральная</w:t>
            </w:r>
            <w:proofErr w:type="spellEnd"/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780B8D" w:rsidTr="00C9055B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с.Новый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902C7" w:rsidRPr="00AC7258" w:rsidTr="007D3527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до 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7D3527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до 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76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2C7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от д.№45 </w:t>
            </w:r>
            <w:proofErr w:type="spellStart"/>
            <w:r w:rsidRPr="00AC7258">
              <w:rPr>
                <w:sz w:val="18"/>
                <w:szCs w:val="18"/>
              </w:rPr>
              <w:t>дл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до дома №116, ширина 4,5м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  <w:proofErr w:type="spellStart"/>
            <w:r w:rsidRPr="00AC7258">
              <w:rPr>
                <w:sz w:val="18"/>
                <w:szCs w:val="18"/>
              </w:rPr>
              <w:t>ул.Садовая</w:t>
            </w:r>
            <w:proofErr w:type="spellEnd"/>
            <w:r w:rsidRPr="00AC7258">
              <w:rPr>
                <w:sz w:val="18"/>
                <w:szCs w:val="18"/>
              </w:rPr>
              <w:t xml:space="preserve">  от д.№4 </w:t>
            </w:r>
            <w:proofErr w:type="spellStart"/>
            <w:r w:rsidRPr="00AC7258">
              <w:rPr>
                <w:sz w:val="18"/>
                <w:szCs w:val="18"/>
              </w:rPr>
              <w:t>дл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ул.Ленина</w:t>
            </w:r>
            <w:proofErr w:type="spellEnd"/>
            <w:r w:rsidRPr="00AC7258">
              <w:rPr>
                <w:sz w:val="18"/>
                <w:szCs w:val="18"/>
              </w:rPr>
              <w:t xml:space="preserve"> до дома №26, ширина 4,5м</w:t>
            </w:r>
          </w:p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16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ул.Центральная</w:t>
            </w:r>
            <w:proofErr w:type="spellEnd"/>
            <w:r w:rsidRPr="00AC7258">
              <w:rPr>
                <w:sz w:val="18"/>
                <w:szCs w:val="18"/>
              </w:rPr>
              <w:t xml:space="preserve">  от дома №2А до дома №20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19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ул.Крестьянская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 до дома №18 , ширина 4,5м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4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2C7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r w:rsidRPr="00AC7258">
              <w:rPr>
                <w:sz w:val="18"/>
                <w:szCs w:val="18"/>
              </w:rPr>
              <w:t xml:space="preserve"> Ремонт автомобильной дороги </w:t>
            </w:r>
            <w:proofErr w:type="spellStart"/>
            <w:r w:rsidRPr="00AC7258">
              <w:rPr>
                <w:sz w:val="18"/>
                <w:szCs w:val="18"/>
              </w:rPr>
              <w:t>ул.Советская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№1 до дома №96 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4902C7" w:rsidRPr="00AC7258" w:rsidTr="001F730F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jc w:val="right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905EAA" w:rsidRDefault="004902C7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3F6720" w:rsidRDefault="004902C7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AC7258" w:rsidRDefault="004902C7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</w:t>
            </w:r>
            <w:proofErr w:type="spellStart"/>
            <w:r w:rsidRPr="00AC7258">
              <w:rPr>
                <w:sz w:val="18"/>
                <w:szCs w:val="18"/>
              </w:rPr>
              <w:t>ул.Козлова</w:t>
            </w:r>
            <w:proofErr w:type="spellEnd"/>
            <w:r w:rsidRPr="00AC7258">
              <w:rPr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sz w:val="18"/>
                <w:szCs w:val="18"/>
              </w:rPr>
              <w:t>с.Старый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4902C7" w:rsidRPr="00AC7258" w:rsidRDefault="004902C7" w:rsidP="00EB3CE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4902C7" w:rsidRPr="00C5350F" w:rsidRDefault="004902C7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4902C7" w:rsidRPr="00C5350F" w:rsidRDefault="004902C7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2D6F6F" w:rsidRPr="00AC7258" w:rsidTr="00390648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F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905EAA" w:rsidRDefault="002D6F6F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3F6720" w:rsidRDefault="002D6F6F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2D6F6F" w:rsidRPr="002D067C" w:rsidRDefault="002D6F6F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</w:t>
            </w:r>
            <w:proofErr w:type="spellEnd"/>
            <w:r w:rsidRPr="002D067C">
              <w:rPr>
                <w:sz w:val="18"/>
                <w:szCs w:val="18"/>
              </w:rPr>
              <w:t xml:space="preserve">-бетонной смеси толщиной 3 см 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2D6F6F" w:rsidRPr="002D067C" w:rsidRDefault="002D6F6F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2D6F6F" w:rsidRPr="00C5350F" w:rsidRDefault="002D6F6F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390648" w:rsidRPr="00AC7258" w:rsidTr="00390648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48" w:rsidRPr="004902C7" w:rsidRDefault="004902C7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390648" w:rsidRDefault="00390648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390648" w:rsidRDefault="00390648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Default="00C57F82" w:rsidP="00390648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ул.Чапаева</w:t>
            </w:r>
            <w:proofErr w:type="spellEnd"/>
            <w:r w:rsidRPr="00C57F82">
              <w:rPr>
                <w:sz w:val="18"/>
                <w:szCs w:val="18"/>
              </w:rPr>
              <w:t xml:space="preserve"> от моста до дома № 2 протяженностью 138 м в </w:t>
            </w:r>
            <w:proofErr w:type="spellStart"/>
            <w:r w:rsidRPr="00C57F82">
              <w:rPr>
                <w:sz w:val="18"/>
                <w:szCs w:val="18"/>
              </w:rPr>
              <w:t>с.Старый</w:t>
            </w:r>
            <w:proofErr w:type="spellEnd"/>
            <w:r w:rsidRPr="00C57F82">
              <w:rPr>
                <w:sz w:val="18"/>
                <w:szCs w:val="18"/>
              </w:rPr>
              <w:t xml:space="preserve">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Default="00390648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05" w:rsidRPr="00CF51ED" w:rsidRDefault="00F61605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9BF" w:rsidRPr="000F09BF" w:rsidRDefault="000F09BF" w:rsidP="000F09BF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>1</w:t>
            </w:r>
            <w:r w:rsidR="00CB33DC">
              <w:rPr>
                <w:sz w:val="18"/>
                <w:szCs w:val="18"/>
              </w:rPr>
              <w:t> </w:t>
            </w:r>
            <w:r w:rsidRPr="000F09BF">
              <w:rPr>
                <w:sz w:val="18"/>
                <w:szCs w:val="18"/>
              </w:rPr>
              <w:t>010</w:t>
            </w:r>
            <w:r w:rsidR="00CB33DC">
              <w:rPr>
                <w:sz w:val="18"/>
                <w:szCs w:val="18"/>
              </w:rPr>
              <w:t xml:space="preserve"> </w:t>
            </w:r>
            <w:r w:rsidRPr="000F09BF">
              <w:rPr>
                <w:sz w:val="18"/>
                <w:szCs w:val="18"/>
              </w:rPr>
              <w:t xml:space="preserve">101,01 руб.( субсидии из обл. бюджета -1 000 000,0 руб. </w:t>
            </w:r>
          </w:p>
          <w:p w:rsidR="00390648" w:rsidRPr="00C5350F" w:rsidRDefault="000F09BF" w:rsidP="000F09BF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>местный бюджет -10 101,01 руб.)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48" w:rsidRPr="00C5350F" w:rsidRDefault="00390648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2D6F6F" w:rsidRPr="00780B8D" w:rsidTr="004902C7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D6F6F" w:rsidRPr="00780B8D" w:rsidRDefault="002D6F6F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разделу "Ремонт дорог":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F6F" w:rsidRPr="00C5350F" w:rsidRDefault="005D3014" w:rsidP="005D3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Pr="00C5350F" w:rsidRDefault="002D6F6F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D6F6F" w:rsidRDefault="005D3014" w:rsidP="005D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6F6F">
              <w:rPr>
                <w:b/>
                <w:bCs/>
                <w:sz w:val="18"/>
                <w:szCs w:val="18"/>
              </w:rPr>
              <w:t>,1</w:t>
            </w:r>
          </w:p>
        </w:tc>
      </w:tr>
      <w:tr w:rsidR="004902C7" w:rsidRPr="00780B8D" w:rsidTr="004902C7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2C7" w:rsidRPr="00780B8D" w:rsidRDefault="004902C7" w:rsidP="00EB3CE0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Pr="00C5350F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C7" w:rsidRDefault="004902C7" w:rsidP="005177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</w:tr>
    </w:tbl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Т.А.Ефремова</w:t>
      </w:r>
      <w:proofErr w:type="spellEnd"/>
    </w:p>
    <w:p w:rsidR="00A77246" w:rsidRDefault="00A77246" w:rsidP="003F2810">
      <w:pPr>
        <w:tabs>
          <w:tab w:val="left" w:pos="2235"/>
        </w:tabs>
        <w:sectPr w:rsidR="00A77246" w:rsidSect="00905EAA">
          <w:headerReference w:type="default" r:id="rId10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A77246" w:rsidRPr="00780B8D" w:rsidRDefault="00A77246" w:rsidP="00195D17">
      <w:pPr>
        <w:pStyle w:val="ConsPlusCell"/>
        <w:widowControl/>
        <w:snapToGrid w:val="0"/>
        <w:jc w:val="center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7" w:rsidRDefault="001454D7" w:rsidP="00651D0B">
      <w:r>
        <w:separator/>
      </w:r>
    </w:p>
  </w:endnote>
  <w:endnote w:type="continuationSeparator" w:id="0">
    <w:p w:rsidR="001454D7" w:rsidRDefault="001454D7" w:rsidP="0065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7" w:rsidRDefault="001454D7" w:rsidP="00651D0B">
      <w:r>
        <w:separator/>
      </w:r>
    </w:p>
  </w:footnote>
  <w:footnote w:type="continuationSeparator" w:id="0">
    <w:p w:rsidR="001454D7" w:rsidRDefault="001454D7" w:rsidP="0065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454D7"/>
    <w:rsid w:val="00162E4A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5B0E"/>
    <w:rsid w:val="00265B72"/>
    <w:rsid w:val="002D067C"/>
    <w:rsid w:val="002D6F6F"/>
    <w:rsid w:val="003134B4"/>
    <w:rsid w:val="00390648"/>
    <w:rsid w:val="003D2E68"/>
    <w:rsid w:val="003F2810"/>
    <w:rsid w:val="003F2F0C"/>
    <w:rsid w:val="003F6720"/>
    <w:rsid w:val="004022D9"/>
    <w:rsid w:val="004145F3"/>
    <w:rsid w:val="00433C26"/>
    <w:rsid w:val="00436C2D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80B8D"/>
    <w:rsid w:val="00794640"/>
    <w:rsid w:val="007C153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462B6"/>
    <w:rsid w:val="00981D4C"/>
    <w:rsid w:val="009B3A94"/>
    <w:rsid w:val="009C6484"/>
    <w:rsid w:val="00A03620"/>
    <w:rsid w:val="00A04A07"/>
    <w:rsid w:val="00A77246"/>
    <w:rsid w:val="00A77400"/>
    <w:rsid w:val="00AB6B9F"/>
    <w:rsid w:val="00AC0EB8"/>
    <w:rsid w:val="00AC7258"/>
    <w:rsid w:val="00AE4389"/>
    <w:rsid w:val="00AE4617"/>
    <w:rsid w:val="00AF6BB3"/>
    <w:rsid w:val="00B45036"/>
    <w:rsid w:val="00B458E6"/>
    <w:rsid w:val="00B702CF"/>
    <w:rsid w:val="00BB1A75"/>
    <w:rsid w:val="00BB44E7"/>
    <w:rsid w:val="00BD3640"/>
    <w:rsid w:val="00BD6BF1"/>
    <w:rsid w:val="00C176D2"/>
    <w:rsid w:val="00C32362"/>
    <w:rsid w:val="00C44BC7"/>
    <w:rsid w:val="00C5350F"/>
    <w:rsid w:val="00C57F82"/>
    <w:rsid w:val="00C80574"/>
    <w:rsid w:val="00C90550"/>
    <w:rsid w:val="00CB294D"/>
    <w:rsid w:val="00CB33DC"/>
    <w:rsid w:val="00CB5599"/>
    <w:rsid w:val="00CC1072"/>
    <w:rsid w:val="00CD0EC8"/>
    <w:rsid w:val="00CF51ED"/>
    <w:rsid w:val="00D77799"/>
    <w:rsid w:val="00D77A7D"/>
    <w:rsid w:val="00D83102"/>
    <w:rsid w:val="00D924A8"/>
    <w:rsid w:val="00D930DA"/>
    <w:rsid w:val="00DB2F17"/>
    <w:rsid w:val="00DC3286"/>
    <w:rsid w:val="00E10553"/>
    <w:rsid w:val="00E13EA9"/>
    <w:rsid w:val="00E14E70"/>
    <w:rsid w:val="00E215A4"/>
    <w:rsid w:val="00E22A75"/>
    <w:rsid w:val="00E87880"/>
    <w:rsid w:val="00EB3CE0"/>
    <w:rsid w:val="00EC596B"/>
    <w:rsid w:val="00EF0CB2"/>
    <w:rsid w:val="00EF40B4"/>
    <w:rsid w:val="00F01F91"/>
    <w:rsid w:val="00F37E72"/>
    <w:rsid w:val="00F61605"/>
    <w:rsid w:val="00F6254D"/>
    <w:rsid w:val="00F7149E"/>
    <w:rsid w:val="00F73B0F"/>
    <w:rsid w:val="00F75518"/>
    <w:rsid w:val="00FA57BB"/>
    <w:rsid w:val="00FC4AC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CC0B-3A3E-46E9-8222-A2CBC9B3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ASUS</cp:lastModifiedBy>
  <cp:revision>2</cp:revision>
  <cp:lastPrinted>2022-06-23T11:43:00Z</cp:lastPrinted>
  <dcterms:created xsi:type="dcterms:W3CDTF">2022-06-23T11:44:00Z</dcterms:created>
  <dcterms:modified xsi:type="dcterms:W3CDTF">2022-06-23T11:44:00Z</dcterms:modified>
</cp:coreProperties>
</file>