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156F14">
      <w:pPr>
        <w:tabs>
          <w:tab w:val="left" w:pos="6862"/>
        </w:tabs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  <w:r w:rsidR="00156F14">
        <w:tab/>
        <w:t>ПРОЕКТ</w:t>
      </w:r>
      <w:bookmarkStart w:id="0" w:name="_GoBack"/>
      <w:bookmarkEnd w:id="0"/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77246" w:rsidRDefault="004902C7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6F14">
        <w:rPr>
          <w:b/>
          <w:sz w:val="28"/>
          <w:szCs w:val="28"/>
        </w:rPr>
        <w:t>____________</w:t>
      </w:r>
      <w:r w:rsidR="002D6F6F">
        <w:rPr>
          <w:b/>
          <w:sz w:val="28"/>
          <w:szCs w:val="28"/>
        </w:rPr>
        <w:t xml:space="preserve"> </w:t>
      </w:r>
      <w:r w:rsidR="00A77246">
        <w:rPr>
          <w:b/>
          <w:sz w:val="28"/>
          <w:szCs w:val="28"/>
        </w:rPr>
        <w:t xml:space="preserve">№ </w:t>
      </w:r>
      <w:r w:rsidR="00156F14">
        <w:rPr>
          <w:b/>
          <w:sz w:val="28"/>
          <w:szCs w:val="28"/>
        </w:rPr>
        <w:t>_____</w:t>
      </w:r>
    </w:p>
    <w:p w:rsidR="00A77246" w:rsidRDefault="00A77246" w:rsidP="003F2810">
      <w:pPr>
        <w:jc w:val="both"/>
        <w:rPr>
          <w:b/>
          <w:sz w:val="16"/>
          <w:szCs w:val="16"/>
        </w:rPr>
      </w:pP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 xml:space="preserve">«Об утверждении Программы </w:t>
      </w:r>
      <w:proofErr w:type="gramStart"/>
      <w:r w:rsidRPr="002416F3">
        <w:rPr>
          <w:bCs/>
          <w:color w:val="000000"/>
          <w:sz w:val="20"/>
          <w:szCs w:val="20"/>
        </w:rPr>
        <w:t>комплексного</w:t>
      </w:r>
      <w:proofErr w:type="gramEnd"/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proofErr w:type="gramStart"/>
      <w:r>
        <w:rPr>
          <w:bCs/>
          <w:color w:val="000000"/>
          <w:sz w:val="20"/>
          <w:szCs w:val="20"/>
        </w:rPr>
        <w:t>Старый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 xml:space="preserve">На основании решения Собрания представителей сельского поселения </w:t>
      </w:r>
      <w:proofErr w:type="gramStart"/>
      <w:r w:rsidRPr="004A28A5">
        <w:rPr>
          <w:color w:val="000000"/>
        </w:rPr>
        <w:t>Стар</w:t>
      </w:r>
      <w:r>
        <w:rPr>
          <w:color w:val="000000"/>
        </w:rPr>
        <w:t>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proofErr w:type="gramStart"/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</w:t>
      </w:r>
      <w:proofErr w:type="gramEnd"/>
      <w:r w:rsidRPr="004A28A5">
        <w:rPr>
          <w:color w:val="000000"/>
        </w:rPr>
        <w:t xml:space="preserve"> </w:t>
      </w:r>
      <w:proofErr w:type="gramStart"/>
      <w:r w:rsidRPr="004A28A5">
        <w:rPr>
          <w:color w:val="000000"/>
        </w:rPr>
        <w:t>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="00CB33DC" w:rsidRPr="00CB33DC">
        <w:rPr>
          <w:color w:val="000000"/>
        </w:rPr>
        <w:t xml:space="preserve"> </w:t>
      </w:r>
      <w:r w:rsidR="00CB33DC" w:rsidRPr="00180761">
        <w:rPr>
          <w:color w:val="000000"/>
        </w:rPr>
        <w:t xml:space="preserve">от </w:t>
      </w:r>
      <w:r w:rsidR="00CB33DC">
        <w:rPr>
          <w:color w:val="000000"/>
        </w:rPr>
        <w:t>01.04.2022</w:t>
      </w:r>
      <w:r w:rsidR="00CB33DC" w:rsidRPr="00180761">
        <w:rPr>
          <w:color w:val="000000"/>
        </w:rPr>
        <w:t xml:space="preserve"> г. № </w:t>
      </w:r>
      <w:r w:rsidR="00CB33DC">
        <w:rPr>
          <w:color w:val="000000"/>
        </w:rPr>
        <w:t xml:space="preserve">62/1 </w:t>
      </w:r>
      <w:r w:rsidR="00CB33DC" w:rsidRPr="004A28A5">
        <w:rPr>
          <w:color w:val="000000"/>
        </w:rPr>
        <w:t xml:space="preserve">«О направлении средств выделенных сельскому поселению </w:t>
      </w:r>
      <w:r w:rsidR="00CB33DC">
        <w:rPr>
          <w:color w:val="000000"/>
        </w:rPr>
        <w:t xml:space="preserve">Старый </w:t>
      </w:r>
      <w:proofErr w:type="spellStart"/>
      <w:r w:rsidR="00CB33DC">
        <w:rPr>
          <w:color w:val="000000"/>
        </w:rPr>
        <w:t>Аманак</w:t>
      </w:r>
      <w:proofErr w:type="spellEnd"/>
      <w:r w:rsidR="00CB33DC" w:rsidRPr="004A28A5">
        <w:rPr>
          <w:color w:val="000000"/>
        </w:rPr>
        <w:t xml:space="preserve"> из муниципаль</w:t>
      </w:r>
      <w:r w:rsidR="00CB33DC">
        <w:rPr>
          <w:color w:val="000000"/>
        </w:rPr>
        <w:t>ного дорожного фонда на 2022</w:t>
      </w:r>
      <w:r w:rsidR="00CB33DC" w:rsidRPr="004A28A5">
        <w:rPr>
          <w:color w:val="000000"/>
        </w:rPr>
        <w:t xml:space="preserve"> год</w:t>
      </w:r>
      <w:proofErr w:type="gramEnd"/>
      <w:r w:rsidR="00CB33DC" w:rsidRPr="004A28A5">
        <w:rPr>
          <w:color w:val="000000"/>
        </w:rPr>
        <w:t>»</w:t>
      </w:r>
      <w:r w:rsidR="00CB33DC">
        <w:rPr>
          <w:color w:val="000000"/>
        </w:rPr>
        <w:t>,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</w:t>
      </w:r>
      <w:proofErr w:type="gramStart"/>
      <w:r w:rsidRPr="004A28A5">
        <w:rPr>
          <w:bCs/>
          <w:color w:val="000000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4A28A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Старый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D3014"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2016 году – 21,48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2017 году – 1,55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2018 году – 2,17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2019 году – 3,97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2D6F6F" w:rsidRDefault="002D6F6F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2022 оду -1,01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</w:p>
          <w:p w:rsidR="00A77246" w:rsidRDefault="00A77246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2023-2026 годах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5D3014">
              <w:rPr>
                <w:rFonts w:ascii="Times New Roman" w:hAnsi="Times New Roman"/>
                <w:b/>
                <w:color w:val="000000"/>
                <w:sz w:val="22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,1 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 xml:space="preserve">Финансирование из бюджета МО ежегодно уточняется при </w:t>
            </w:r>
            <w:r>
              <w:rPr>
                <w:bCs/>
                <w:iCs/>
                <w:sz w:val="22"/>
                <w:szCs w:val="22"/>
              </w:rPr>
              <w:lastRenderedPageBreak/>
              <w:t>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C2340">
        <w:rPr>
          <w:bCs/>
          <w:sz w:val="26"/>
          <w:szCs w:val="26"/>
        </w:rPr>
        <w:lastRenderedPageBreak/>
        <w:t xml:space="preserve"> 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4C2340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</w:t>
      </w:r>
      <w:proofErr w:type="gramStart"/>
      <w:r w:rsidRPr="00FC4ACE">
        <w:rPr>
          <w:sz w:val="28"/>
          <w:szCs w:val="28"/>
        </w:rPr>
        <w:t xml:space="preserve">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>, млн. руб.» изложить в следующей редакции:</w:t>
      </w:r>
      <w:proofErr w:type="gramEnd"/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 xml:space="preserve">Старый </w:t>
      </w:r>
      <w:proofErr w:type="spellStart"/>
      <w:r>
        <w:rPr>
          <w:b/>
          <w:color w:val="000000"/>
        </w:rPr>
        <w:t>Аманак</w:t>
      </w:r>
      <w:proofErr w:type="spellEnd"/>
      <w:r w:rsidRPr="00FC4ACE">
        <w:rPr>
          <w:b/>
          <w:color w:val="000000"/>
        </w:rPr>
        <w:t>, руб.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A77246" w:rsidTr="00EB3CE0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A77246" w:rsidTr="00EB3CE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A77246" w:rsidTr="00EB3CE0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2D6F6F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2D6F6F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5D3014" w:rsidP="005D301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246">
              <w:rPr>
                <w:color w:val="000000"/>
              </w:rPr>
              <w:t>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5D3014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D6F6F">
              <w:rPr>
                <w:color w:val="000000"/>
              </w:rPr>
              <w:t>,33</w:t>
            </w:r>
          </w:p>
        </w:tc>
      </w:tr>
      <w:tr w:rsidR="00A77246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246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 xml:space="preserve">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9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2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581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549"/>
        <w:gridCol w:w="48"/>
        <w:gridCol w:w="1330"/>
        <w:gridCol w:w="1403"/>
        <w:gridCol w:w="2806"/>
        <w:gridCol w:w="1052"/>
        <w:gridCol w:w="876"/>
        <w:gridCol w:w="876"/>
        <w:gridCol w:w="1052"/>
        <w:gridCol w:w="1052"/>
        <w:gridCol w:w="1052"/>
        <w:gridCol w:w="1229"/>
        <w:gridCol w:w="1236"/>
        <w:gridCol w:w="1236"/>
      </w:tblGrid>
      <w:tr w:rsidR="005D3014" w:rsidRPr="00780B8D" w:rsidTr="00A54645">
        <w:trPr>
          <w:trHeight w:val="36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702CF">
              <w:rPr>
                <w:sz w:val="16"/>
                <w:szCs w:val="16"/>
              </w:rPr>
              <w:t>р</w:t>
            </w:r>
            <w:proofErr w:type="gramEnd"/>
            <w:r w:rsidRPr="00B702CF">
              <w:rPr>
                <w:sz w:val="16"/>
                <w:szCs w:val="16"/>
              </w:rPr>
              <w:t>ублей</w:t>
            </w:r>
            <w:proofErr w:type="spellEnd"/>
            <w:r w:rsidRPr="00B702CF">
              <w:rPr>
                <w:sz w:val="16"/>
                <w:szCs w:val="16"/>
              </w:rPr>
              <w:t xml:space="preserve"> </w:t>
            </w:r>
          </w:p>
        </w:tc>
      </w:tr>
      <w:tr w:rsidR="002D6F6F" w:rsidRPr="00780B8D" w:rsidTr="00390648">
        <w:trPr>
          <w:trHeight w:val="318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2D6F6F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2023-2026</w:t>
            </w:r>
          </w:p>
        </w:tc>
      </w:tr>
      <w:tr w:rsidR="002D6F6F" w:rsidRPr="00780B8D" w:rsidTr="00390648">
        <w:trPr>
          <w:trHeight w:val="3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Default="002D6F6F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6F6F" w:rsidRPr="00780B8D" w:rsidTr="002D6F6F">
        <w:trPr>
          <w:trHeight w:val="331"/>
        </w:trPr>
        <w:tc>
          <w:tcPr>
            <w:tcW w:w="133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6F6F" w:rsidRPr="00780B8D" w:rsidRDefault="002D6F6F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F6F" w:rsidRPr="00780B8D" w:rsidRDefault="002D6F6F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F6F" w:rsidRPr="00780B8D" w:rsidRDefault="002D6F6F" w:rsidP="00CF51ED">
            <w:pPr>
              <w:jc w:val="center"/>
              <w:rPr>
                <w:b/>
                <w:bCs/>
              </w:rPr>
            </w:pPr>
          </w:p>
        </w:tc>
      </w:tr>
      <w:tr w:rsidR="004902C7" w:rsidRPr="00780B8D" w:rsidTr="004247E0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Старый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roofErr w:type="gramStart"/>
            <w:r w:rsidRPr="00802F83">
              <w:rPr>
                <w:sz w:val="18"/>
                <w:szCs w:val="18"/>
              </w:rPr>
              <w:t>с</w:t>
            </w:r>
            <w:proofErr w:type="gramEnd"/>
            <w:r w:rsidRPr="00802F83">
              <w:rPr>
                <w:sz w:val="18"/>
                <w:szCs w:val="18"/>
              </w:rPr>
              <w:t xml:space="preserve">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Ремонт улично-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дор.сети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с.С.Аманак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по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</w:t>
            </w:r>
            <w:proofErr w:type="gram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.Л</w:t>
            </w:r>
            <w:proofErr w:type="gram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енина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4902C7" w:rsidRPr="00AC7258" w:rsidRDefault="004902C7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7 м</w:t>
              </w:r>
            </w:smartTag>
          </w:p>
          <w:p w:rsidR="004902C7" w:rsidRPr="00AC7258" w:rsidRDefault="004902C7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Ул.Центральная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4247E0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, </w:t>
            </w:r>
            <w:r w:rsidRPr="00AC7258">
              <w:rPr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4247E0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ул.Центральная</w:t>
            </w:r>
            <w:proofErr w:type="spellEnd"/>
            <w:r w:rsidRPr="00AC7258">
              <w:rPr>
                <w:sz w:val="18"/>
                <w:szCs w:val="18"/>
              </w:rPr>
              <w:t xml:space="preserve"> от центра (пересечение с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) до д.№67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153DC4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153DC4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шир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C9055B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с.Новый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265B72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 xml:space="preserve">обочин </w:t>
            </w:r>
            <w:proofErr w:type="spellStart"/>
            <w:r w:rsidRPr="003F2F0C">
              <w:rPr>
                <w:sz w:val="18"/>
                <w:szCs w:val="18"/>
              </w:rPr>
              <w:t>ул.Центральная</w:t>
            </w:r>
            <w:proofErr w:type="spellEnd"/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65B72">
              <w:rPr>
                <w:sz w:val="18"/>
                <w:szCs w:val="18"/>
              </w:rPr>
              <w:t>Похвистневский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Самрской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 xml:space="preserve">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C9055B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с.Новый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Н.Аманак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ул. Центральная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AC7258" w:rsidTr="007D3527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до 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7D3527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до 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76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 от д.№45 </w:t>
            </w:r>
            <w:proofErr w:type="spellStart"/>
            <w:r w:rsidRPr="00AC7258">
              <w:rPr>
                <w:sz w:val="18"/>
                <w:szCs w:val="18"/>
              </w:rPr>
              <w:t>дл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до дома №116, ширина 4,5м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 от д.№4 </w:t>
            </w:r>
            <w:proofErr w:type="spellStart"/>
            <w:r w:rsidRPr="00AC7258">
              <w:rPr>
                <w:sz w:val="18"/>
                <w:szCs w:val="18"/>
              </w:rPr>
              <w:t>дл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до дома №26, ширина 4,5м</w:t>
            </w:r>
          </w:p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16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ул.Центральная</w:t>
            </w:r>
            <w:proofErr w:type="spellEnd"/>
            <w:r w:rsidRPr="00AC7258">
              <w:rPr>
                <w:sz w:val="18"/>
                <w:szCs w:val="18"/>
              </w:rPr>
              <w:t xml:space="preserve">  от дома №2А до дома №20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19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ул.Крестьянская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 до дома №18 , ширина 4,5м 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4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ул.Советская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№1 до дома №96 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</w:t>
            </w:r>
            <w:proofErr w:type="spellStart"/>
            <w:r w:rsidRPr="00AC7258">
              <w:rPr>
                <w:sz w:val="18"/>
                <w:szCs w:val="18"/>
              </w:rPr>
              <w:t>ул.Козлова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4902C7" w:rsidRPr="00C5350F" w:rsidRDefault="004902C7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4902C7" w:rsidRPr="00C5350F" w:rsidRDefault="004902C7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2D6F6F" w:rsidRPr="00AC7258" w:rsidTr="00390648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F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905EAA" w:rsidRDefault="002D6F6F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3F6720" w:rsidRDefault="002D6F6F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2D067C" w:rsidRDefault="002D6F6F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</w:t>
            </w:r>
            <w:proofErr w:type="spellStart"/>
            <w:r w:rsidRPr="002D067C">
              <w:rPr>
                <w:sz w:val="18"/>
                <w:szCs w:val="18"/>
              </w:rPr>
              <w:t>по</w:t>
            </w:r>
            <w:proofErr w:type="spellEnd"/>
            <w:r w:rsidRPr="002D067C">
              <w:rPr>
                <w:sz w:val="18"/>
                <w:szCs w:val="18"/>
              </w:rPr>
              <w:t xml:space="preserve"> ул. </w:t>
            </w:r>
            <w:proofErr w:type="spellStart"/>
            <w:r w:rsidRPr="002D067C">
              <w:rPr>
                <w:sz w:val="18"/>
                <w:szCs w:val="18"/>
              </w:rPr>
              <w:t>Шулайкина</w:t>
            </w:r>
            <w:proofErr w:type="spellEnd"/>
            <w:r w:rsidRPr="002D0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D067C">
              <w:rPr>
                <w:sz w:val="18"/>
                <w:szCs w:val="18"/>
              </w:rPr>
              <w:t>Аманак</w:t>
            </w:r>
            <w:proofErr w:type="spellEnd"/>
            <w:r w:rsidRPr="002D067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D067C">
              <w:rPr>
                <w:sz w:val="18"/>
                <w:szCs w:val="18"/>
              </w:rPr>
              <w:t>Похвистневский</w:t>
            </w:r>
            <w:proofErr w:type="spellEnd"/>
            <w:r w:rsidRPr="002D067C">
              <w:rPr>
                <w:sz w:val="18"/>
                <w:szCs w:val="18"/>
              </w:rPr>
              <w:t xml:space="preserve"> Самарской области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2D6F6F" w:rsidRPr="002D067C" w:rsidRDefault="002D6F6F" w:rsidP="00800B3F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</w:t>
            </w:r>
            <w:proofErr w:type="spellStart"/>
            <w:r w:rsidRPr="002D067C">
              <w:rPr>
                <w:sz w:val="18"/>
                <w:szCs w:val="18"/>
              </w:rPr>
              <w:t>асфальто</w:t>
            </w:r>
            <w:proofErr w:type="spellEnd"/>
            <w:r w:rsidRPr="002D067C">
              <w:rPr>
                <w:sz w:val="18"/>
                <w:szCs w:val="18"/>
              </w:rPr>
              <w:t xml:space="preserve">-бетонной смеси толщиной 3 см 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2D6F6F" w:rsidRPr="00C5350F" w:rsidRDefault="002D6F6F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390648" w:rsidRPr="00AC7258" w:rsidTr="00390648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48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390648" w:rsidRDefault="00390648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390648" w:rsidRDefault="00390648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с.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Default="00C57F82" w:rsidP="00390648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C57F82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C57F82">
              <w:rPr>
                <w:sz w:val="18"/>
                <w:szCs w:val="18"/>
              </w:rPr>
              <w:t>ул.Чапаева</w:t>
            </w:r>
            <w:proofErr w:type="spellEnd"/>
            <w:r w:rsidRPr="00C57F82">
              <w:rPr>
                <w:sz w:val="18"/>
                <w:szCs w:val="18"/>
              </w:rPr>
              <w:t xml:space="preserve"> от моста до дома № 2 протяженностью 138 м в </w:t>
            </w:r>
            <w:proofErr w:type="spellStart"/>
            <w:r w:rsidRPr="00C57F82">
              <w:rPr>
                <w:sz w:val="18"/>
                <w:szCs w:val="18"/>
              </w:rPr>
              <w:t>с.Старый</w:t>
            </w:r>
            <w:proofErr w:type="spellEnd"/>
            <w:r w:rsidRPr="00C57F82">
              <w:rPr>
                <w:sz w:val="18"/>
                <w:szCs w:val="18"/>
              </w:rPr>
              <w:t xml:space="preserve">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7F82">
              <w:rPr>
                <w:sz w:val="18"/>
                <w:szCs w:val="18"/>
              </w:rPr>
              <w:t>Похвистневский</w:t>
            </w:r>
            <w:proofErr w:type="spellEnd"/>
            <w:r w:rsidRPr="00C57F8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Default="00390648" w:rsidP="0039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05" w:rsidRPr="00CF51ED" w:rsidRDefault="00F61605" w:rsidP="00F61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BF" w:rsidRPr="000F09BF" w:rsidRDefault="000F09BF" w:rsidP="000F09BF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>1</w:t>
            </w:r>
            <w:r w:rsidR="00CB33DC">
              <w:rPr>
                <w:sz w:val="18"/>
                <w:szCs w:val="18"/>
              </w:rPr>
              <w:t> </w:t>
            </w:r>
            <w:r w:rsidRPr="000F09BF">
              <w:rPr>
                <w:sz w:val="18"/>
                <w:szCs w:val="18"/>
              </w:rPr>
              <w:t>010</w:t>
            </w:r>
            <w:r w:rsidR="00CB33DC">
              <w:rPr>
                <w:sz w:val="18"/>
                <w:szCs w:val="18"/>
              </w:rPr>
              <w:t xml:space="preserve"> </w:t>
            </w:r>
            <w:r w:rsidRPr="000F09BF">
              <w:rPr>
                <w:sz w:val="18"/>
                <w:szCs w:val="18"/>
              </w:rPr>
              <w:t xml:space="preserve">101,01 руб.( субсидии из обл. бюджета -1 000 000,0 руб. </w:t>
            </w:r>
          </w:p>
          <w:p w:rsidR="00390648" w:rsidRPr="00C5350F" w:rsidRDefault="000F09BF" w:rsidP="000F09BF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>местный бюджет -10 101,01 руб.)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</w:tr>
      <w:tr w:rsidR="002D6F6F" w:rsidRPr="00780B8D" w:rsidTr="004902C7">
        <w:trPr>
          <w:trHeight w:val="298"/>
        </w:trPr>
        <w:tc>
          <w:tcPr>
            <w:tcW w:w="615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D6F6F" w:rsidRPr="00780B8D" w:rsidRDefault="002D6F6F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разделу "Ремонт дорог":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F6F" w:rsidRPr="00C5350F" w:rsidRDefault="005D3014" w:rsidP="005D3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,3319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Default="005D3014" w:rsidP="005D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D6F6F">
              <w:rPr>
                <w:b/>
                <w:bCs/>
                <w:sz w:val="18"/>
                <w:szCs w:val="18"/>
              </w:rPr>
              <w:t>,1</w:t>
            </w:r>
          </w:p>
        </w:tc>
      </w:tr>
      <w:tr w:rsidR="004902C7" w:rsidRPr="00780B8D" w:rsidTr="004902C7">
        <w:trPr>
          <w:trHeight w:val="298"/>
        </w:trPr>
        <w:tc>
          <w:tcPr>
            <w:tcW w:w="61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40,3319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</w:tr>
    </w:tbl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Т.А.Ефремова</w:t>
      </w:r>
      <w:proofErr w:type="spellEnd"/>
    </w:p>
    <w:p w:rsidR="00A77246" w:rsidRDefault="00A77246" w:rsidP="003F2810">
      <w:pPr>
        <w:tabs>
          <w:tab w:val="left" w:pos="2235"/>
        </w:tabs>
        <w:sectPr w:rsidR="00A77246" w:rsidSect="00905EAA">
          <w:headerReference w:type="default" r:id="rId10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A77246" w:rsidRPr="00780B8D" w:rsidRDefault="00A77246" w:rsidP="00195D17">
      <w:pPr>
        <w:pStyle w:val="ConsPlusCell"/>
        <w:widowControl/>
        <w:snapToGrid w:val="0"/>
        <w:jc w:val="center"/>
        <w:rPr>
          <w:rFonts w:cs="Times New Roman"/>
        </w:rPr>
      </w:pPr>
    </w:p>
    <w:sectPr w:rsidR="00A77246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2B" w:rsidRDefault="00C33C2B" w:rsidP="00651D0B">
      <w:r>
        <w:separator/>
      </w:r>
    </w:p>
  </w:endnote>
  <w:endnote w:type="continuationSeparator" w:id="0">
    <w:p w:rsidR="00C33C2B" w:rsidRDefault="00C33C2B" w:rsidP="0065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2B" w:rsidRDefault="00C33C2B" w:rsidP="00651D0B">
      <w:r>
        <w:separator/>
      </w:r>
    </w:p>
  </w:footnote>
  <w:footnote w:type="continuationSeparator" w:id="0">
    <w:p w:rsidR="00C33C2B" w:rsidRDefault="00C33C2B" w:rsidP="0065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454D7"/>
    <w:rsid w:val="00156F14"/>
    <w:rsid w:val="00162E4A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2209A8"/>
    <w:rsid w:val="002211F0"/>
    <w:rsid w:val="002347DA"/>
    <w:rsid w:val="002416F3"/>
    <w:rsid w:val="0024425E"/>
    <w:rsid w:val="00255B0E"/>
    <w:rsid w:val="00265B72"/>
    <w:rsid w:val="002D067C"/>
    <w:rsid w:val="002D6F6F"/>
    <w:rsid w:val="003134B4"/>
    <w:rsid w:val="00390648"/>
    <w:rsid w:val="003D2E68"/>
    <w:rsid w:val="003F2810"/>
    <w:rsid w:val="003F2F0C"/>
    <w:rsid w:val="003F6720"/>
    <w:rsid w:val="004022D9"/>
    <w:rsid w:val="004145F3"/>
    <w:rsid w:val="00433C26"/>
    <w:rsid w:val="00436C2D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80B8D"/>
    <w:rsid w:val="00794640"/>
    <w:rsid w:val="007C153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462B6"/>
    <w:rsid w:val="00981D4C"/>
    <w:rsid w:val="009B3A94"/>
    <w:rsid w:val="009C6484"/>
    <w:rsid w:val="00A03620"/>
    <w:rsid w:val="00A04A07"/>
    <w:rsid w:val="00A77246"/>
    <w:rsid w:val="00A77400"/>
    <w:rsid w:val="00AB6B9F"/>
    <w:rsid w:val="00AC0EB8"/>
    <w:rsid w:val="00AC7258"/>
    <w:rsid w:val="00AE4389"/>
    <w:rsid w:val="00AE4617"/>
    <w:rsid w:val="00AF6BB3"/>
    <w:rsid w:val="00B45036"/>
    <w:rsid w:val="00B458E6"/>
    <w:rsid w:val="00B702CF"/>
    <w:rsid w:val="00BB1A75"/>
    <w:rsid w:val="00BB44E7"/>
    <w:rsid w:val="00BD3640"/>
    <w:rsid w:val="00BD6BF1"/>
    <w:rsid w:val="00C176D2"/>
    <w:rsid w:val="00C32362"/>
    <w:rsid w:val="00C33C2B"/>
    <w:rsid w:val="00C44BC7"/>
    <w:rsid w:val="00C5350F"/>
    <w:rsid w:val="00C57F82"/>
    <w:rsid w:val="00C80574"/>
    <w:rsid w:val="00C90550"/>
    <w:rsid w:val="00CB294D"/>
    <w:rsid w:val="00CB33DC"/>
    <w:rsid w:val="00CB5599"/>
    <w:rsid w:val="00CC1072"/>
    <w:rsid w:val="00CD0EC8"/>
    <w:rsid w:val="00CF51ED"/>
    <w:rsid w:val="00D77799"/>
    <w:rsid w:val="00D77A7D"/>
    <w:rsid w:val="00D83102"/>
    <w:rsid w:val="00D924A8"/>
    <w:rsid w:val="00D930DA"/>
    <w:rsid w:val="00DB2F17"/>
    <w:rsid w:val="00DC3286"/>
    <w:rsid w:val="00E10553"/>
    <w:rsid w:val="00E13EA9"/>
    <w:rsid w:val="00E14E70"/>
    <w:rsid w:val="00E215A4"/>
    <w:rsid w:val="00E22A75"/>
    <w:rsid w:val="00E87880"/>
    <w:rsid w:val="00EB3CE0"/>
    <w:rsid w:val="00EC596B"/>
    <w:rsid w:val="00EF0CB2"/>
    <w:rsid w:val="00EF40B4"/>
    <w:rsid w:val="00F01F91"/>
    <w:rsid w:val="00F37E72"/>
    <w:rsid w:val="00F61605"/>
    <w:rsid w:val="00F6254D"/>
    <w:rsid w:val="00F7149E"/>
    <w:rsid w:val="00F73B0F"/>
    <w:rsid w:val="00F75518"/>
    <w:rsid w:val="00FA57BB"/>
    <w:rsid w:val="00FC4AC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9FAC-E552-4A9D-AED5-B64AEDA0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ASUS</cp:lastModifiedBy>
  <cp:revision>3</cp:revision>
  <cp:lastPrinted>2022-06-23T11:43:00Z</cp:lastPrinted>
  <dcterms:created xsi:type="dcterms:W3CDTF">2022-06-23T11:44:00Z</dcterms:created>
  <dcterms:modified xsi:type="dcterms:W3CDTF">2022-07-27T10:02:00Z</dcterms:modified>
</cp:coreProperties>
</file>