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377D4" w:rsidRPr="003263AA" w:rsidRDefault="004902C7" w:rsidP="00D377D4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</w:t>
      </w:r>
      <w:r w:rsidR="00D377D4" w:rsidRPr="003263AA">
        <w:rPr>
          <w:b/>
          <w:sz w:val="28"/>
          <w:szCs w:val="28"/>
        </w:rPr>
        <w:t>01</w:t>
      </w:r>
      <w:r w:rsidR="00A77246" w:rsidRPr="003263AA">
        <w:rPr>
          <w:b/>
          <w:sz w:val="28"/>
          <w:szCs w:val="28"/>
        </w:rPr>
        <w:t>.</w:t>
      </w:r>
      <w:r w:rsidR="00770EAD" w:rsidRPr="003263AA">
        <w:rPr>
          <w:b/>
          <w:sz w:val="28"/>
          <w:szCs w:val="28"/>
        </w:rPr>
        <w:t>0</w:t>
      </w:r>
      <w:r w:rsidR="00D377D4" w:rsidRPr="003263AA">
        <w:rPr>
          <w:b/>
          <w:sz w:val="28"/>
          <w:szCs w:val="28"/>
        </w:rPr>
        <w:t>3</w:t>
      </w:r>
      <w:r w:rsidR="00A77246" w:rsidRPr="003263AA">
        <w:rPr>
          <w:b/>
          <w:sz w:val="28"/>
          <w:szCs w:val="28"/>
        </w:rPr>
        <w:t>.202</w:t>
      </w:r>
      <w:r w:rsidR="00D377D4" w:rsidRPr="003263AA">
        <w:rPr>
          <w:b/>
          <w:sz w:val="28"/>
          <w:szCs w:val="28"/>
        </w:rPr>
        <w:t>4</w:t>
      </w:r>
      <w:r w:rsidR="00A77246" w:rsidRPr="003263AA">
        <w:rPr>
          <w:b/>
          <w:sz w:val="28"/>
          <w:szCs w:val="28"/>
        </w:rPr>
        <w:t>г</w:t>
      </w:r>
      <w:r w:rsidR="002D6F6F" w:rsidRPr="003263AA">
        <w:rPr>
          <w:b/>
          <w:sz w:val="28"/>
          <w:szCs w:val="28"/>
        </w:rPr>
        <w:t xml:space="preserve"> </w:t>
      </w:r>
      <w:r w:rsidR="00A77246" w:rsidRPr="003263AA">
        <w:rPr>
          <w:b/>
          <w:sz w:val="28"/>
          <w:szCs w:val="28"/>
        </w:rPr>
        <w:t xml:space="preserve">№ </w:t>
      </w:r>
      <w:r w:rsidR="003263AA" w:rsidRPr="003263AA">
        <w:rPr>
          <w:b/>
          <w:sz w:val="28"/>
          <w:szCs w:val="28"/>
          <w:lang w:val="en-US"/>
        </w:rPr>
        <w:t>9</w:t>
      </w:r>
    </w:p>
    <w:p w:rsidR="00A77246" w:rsidRDefault="00A77246" w:rsidP="00D377D4">
      <w:pPr>
        <w:jc w:val="both"/>
        <w:outlineLvl w:val="0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развития систем транспортн</w:t>
      </w:r>
      <w:proofErr w:type="gramStart"/>
      <w:r w:rsidRPr="002416F3">
        <w:rPr>
          <w:bCs/>
          <w:color w:val="000000"/>
          <w:sz w:val="20"/>
          <w:szCs w:val="20"/>
        </w:rPr>
        <w:t>ой</w:t>
      </w:r>
      <w:proofErr w:type="gramEnd"/>
      <w:r w:rsidRPr="002416F3">
        <w:rPr>
          <w:bCs/>
          <w:color w:val="000000"/>
          <w:sz w:val="20"/>
          <w:szCs w:val="20"/>
        </w:rPr>
        <w:t xml:space="preserve">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 xml:space="preserve">Старый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обеспечение мероприятий Пр</w:t>
            </w:r>
            <w:r w:rsidR="00CE5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ограммы осуществляется за счет средств областного бюджета 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21,48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1,55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2,17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3,97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</w:t>
            </w:r>
            <w:r w:rsidR="00932185">
              <w:rPr>
                <w:b/>
                <w:sz w:val="22"/>
                <w:szCs w:val="22"/>
              </w:rPr>
              <w:t>– 1,01</w:t>
            </w:r>
            <w:r>
              <w:rPr>
                <w:b/>
                <w:sz w:val="22"/>
                <w:szCs w:val="22"/>
              </w:rPr>
              <w:t xml:space="preserve">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2023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году</w:t>
            </w:r>
            <w:r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D377D4" w:rsidRDefault="00D377D4" w:rsidP="00D377D4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в 2024 году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2,02 </w:t>
            </w:r>
            <w:r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CB176A" w:rsidRDefault="009A5F2C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в 202</w:t>
            </w:r>
            <w:r w:rsidR="00D377D4">
              <w:rPr>
                <w:rFonts w:ascii="Times New Roman" w:hAnsi="Times New Roman"/>
                <w:b/>
                <w:sz w:val="22"/>
              </w:rPr>
              <w:t>5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-2026 годах –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D377D4">
              <w:rPr>
                <w:rFonts w:ascii="Times New Roman" w:hAnsi="Times New Roman"/>
                <w:b/>
                <w:color w:val="000000"/>
                <w:sz w:val="22"/>
              </w:rPr>
              <w:t>0,03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 w:rsidR="00CB176A"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 w:rsidR="00CB176A"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Pr="004C2340" w:rsidRDefault="00A77246" w:rsidP="00CE5260">
      <w:pPr>
        <w:spacing w:line="240" w:lineRule="atLeast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 xml:space="preserve">, </w:t>
      </w:r>
      <w:r w:rsidR="00CE5260">
        <w:rPr>
          <w:b/>
          <w:color w:val="000000"/>
        </w:rPr>
        <w:t>млн.</w:t>
      </w:r>
      <w:r w:rsidRPr="00FC4ACE">
        <w:rPr>
          <w:b/>
          <w:color w:val="000000"/>
        </w:rPr>
        <w:t>руб.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0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"/>
        <w:gridCol w:w="2395"/>
        <w:gridCol w:w="790"/>
        <w:gridCol w:w="609"/>
        <w:gridCol w:w="609"/>
        <w:gridCol w:w="609"/>
        <w:gridCol w:w="608"/>
        <w:gridCol w:w="609"/>
        <w:gridCol w:w="609"/>
        <w:gridCol w:w="799"/>
        <w:gridCol w:w="567"/>
        <w:gridCol w:w="709"/>
        <w:gridCol w:w="1167"/>
      </w:tblGrid>
      <w:tr w:rsidR="00BE1B97" w:rsidTr="00BE1B97">
        <w:trPr>
          <w:trHeight w:hRule="exact" w:val="307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7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BE1B97" w:rsidTr="00BE1B97">
        <w:trPr>
          <w:cantSplit/>
          <w:trHeight w:hRule="exact" w:val="1119"/>
        </w:trPr>
        <w:tc>
          <w:tcPr>
            <w:tcW w:w="4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-1129" w:right="113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-40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B97" w:rsidRDefault="00BE1B97" w:rsidP="00BE1B97">
            <w:pPr>
              <w:shd w:val="clear" w:color="auto" w:fill="FFFFFF"/>
              <w:snapToGrid w:val="0"/>
              <w:ind w:left="202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B97" w:rsidRDefault="00BE1B97" w:rsidP="00BE1B97">
            <w:pPr>
              <w:shd w:val="clear" w:color="auto" w:fill="FFFFFF"/>
              <w:snapToGrid w:val="0"/>
              <w:ind w:left="202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2024-2026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B97" w:rsidRDefault="00BE1B97" w:rsidP="00BE1B97">
            <w:pPr>
              <w:shd w:val="clear" w:color="auto" w:fill="FFFFFF"/>
              <w:snapToGrid w:val="0"/>
              <w:ind w:left="202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BE1B97" w:rsidTr="00BE1B97">
        <w:trPr>
          <w:trHeight w:hRule="exact" w:val="289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9A5F2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9A5F2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</w:tr>
      <w:tr w:rsidR="00BE1B97" w:rsidTr="00BE1B97">
        <w:trPr>
          <w:trHeight w:hRule="exact" w:val="2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1B97" w:rsidTr="00BE1B97">
        <w:trPr>
          <w:trHeight w:hRule="exact" w:val="2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97" w:rsidRDefault="00BE1B97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97" w:rsidRDefault="00BE1B97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8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936" w:type="dxa"/>
        <w:tblInd w:w="93" w:type="dxa"/>
        <w:tblLayout w:type="fixed"/>
        <w:tblLook w:val="00A0"/>
      </w:tblPr>
      <w:tblGrid>
        <w:gridCol w:w="13"/>
        <w:gridCol w:w="513"/>
        <w:gridCol w:w="45"/>
        <w:gridCol w:w="1243"/>
        <w:gridCol w:w="1178"/>
        <w:gridCol w:w="2757"/>
        <w:gridCol w:w="983"/>
        <w:gridCol w:w="818"/>
        <w:gridCol w:w="818"/>
        <w:gridCol w:w="983"/>
        <w:gridCol w:w="983"/>
        <w:gridCol w:w="983"/>
        <w:gridCol w:w="1153"/>
        <w:gridCol w:w="1155"/>
        <w:gridCol w:w="1416"/>
        <w:gridCol w:w="895"/>
      </w:tblGrid>
      <w:tr w:rsidR="00CB176A" w:rsidRPr="00780B8D" w:rsidTr="00B331D0">
        <w:trPr>
          <w:trHeight w:val="362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</w:p>
        </w:tc>
      </w:tr>
      <w:tr w:rsidR="00CB176A" w:rsidRPr="00780B8D" w:rsidTr="00B331D0">
        <w:trPr>
          <w:trHeight w:val="318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2024-2026</w:t>
            </w:r>
          </w:p>
        </w:tc>
      </w:tr>
      <w:tr w:rsidR="00CB176A" w:rsidRPr="00780B8D" w:rsidTr="00B331D0">
        <w:trPr>
          <w:trHeight w:val="30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176A" w:rsidRPr="00780B8D" w:rsidTr="00CB176A">
        <w:trPr>
          <w:trHeight w:val="331"/>
        </w:trPr>
        <w:tc>
          <w:tcPr>
            <w:tcW w:w="12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улично-дор.сети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65B72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CB176A" w:rsidRPr="002D067C" w:rsidRDefault="00CB176A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асфальто-бетонной</w:t>
            </w:r>
            <w:proofErr w:type="spellEnd"/>
            <w:r w:rsidRPr="002D067C">
              <w:rPr>
                <w:sz w:val="18"/>
                <w:szCs w:val="18"/>
              </w:rPr>
              <w:t xml:space="preserve"> смеси толщиной 3 см 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AD7FA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</w:t>
            </w:r>
            <w:r w:rsidR="00AD7FAE">
              <w:rPr>
                <w:sz w:val="18"/>
                <w:szCs w:val="18"/>
              </w:rPr>
              <w:t>Шулайкина</w:t>
            </w:r>
            <w:proofErr w:type="spellEnd"/>
            <w:r w:rsidRPr="00C57F82">
              <w:rPr>
                <w:sz w:val="18"/>
                <w:szCs w:val="18"/>
              </w:rPr>
              <w:t xml:space="preserve"> от  дома № </w:t>
            </w:r>
            <w:r w:rsidR="00AD7FAE">
              <w:rPr>
                <w:sz w:val="18"/>
                <w:szCs w:val="18"/>
              </w:rPr>
              <w:t>77 до дома №87</w:t>
            </w:r>
            <w:r w:rsidRPr="00C57F82">
              <w:rPr>
                <w:sz w:val="18"/>
                <w:szCs w:val="18"/>
              </w:rPr>
              <w:t xml:space="preserve"> протяженностью </w:t>
            </w:r>
            <w:r w:rsidR="00AD7FAE">
              <w:rPr>
                <w:sz w:val="18"/>
                <w:szCs w:val="18"/>
              </w:rPr>
              <w:t>200</w:t>
            </w:r>
            <w:r w:rsidRPr="00C57F82">
              <w:rPr>
                <w:sz w:val="18"/>
                <w:szCs w:val="18"/>
              </w:rPr>
              <w:t xml:space="preserve"> м в с.Старый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AD7FAE" w:rsidP="000F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5F2C">
              <w:rPr>
                <w:sz w:val="18"/>
                <w:szCs w:val="18"/>
              </w:rPr>
              <w:t>1 010 101,01</w:t>
            </w:r>
            <w:r w:rsidR="00CB176A" w:rsidRPr="000F09BF">
              <w:rPr>
                <w:sz w:val="18"/>
                <w:szCs w:val="18"/>
              </w:rPr>
              <w:t xml:space="preserve"> руб</w:t>
            </w:r>
            <w:proofErr w:type="gramStart"/>
            <w:r w:rsidR="00CB176A" w:rsidRPr="000F09BF">
              <w:rPr>
                <w:sz w:val="18"/>
                <w:szCs w:val="18"/>
              </w:rPr>
              <w:t>.(</w:t>
            </w:r>
            <w:proofErr w:type="gramEnd"/>
            <w:r w:rsidR="00CB176A" w:rsidRPr="000F09BF">
              <w:rPr>
                <w:sz w:val="18"/>
                <w:szCs w:val="18"/>
              </w:rPr>
              <w:t xml:space="preserve"> субсидии из обл. бюджета -</w:t>
            </w:r>
            <w:r w:rsidR="009A5F2C">
              <w:rPr>
                <w:sz w:val="18"/>
                <w:szCs w:val="18"/>
              </w:rPr>
              <w:t>1 000 000</w:t>
            </w:r>
            <w:r w:rsidR="00CB176A" w:rsidRPr="000F09BF">
              <w:rPr>
                <w:sz w:val="18"/>
                <w:szCs w:val="18"/>
              </w:rPr>
              <w:t xml:space="preserve"> руб. </w:t>
            </w:r>
          </w:p>
          <w:p w:rsidR="00CB176A" w:rsidRPr="00C5350F" w:rsidRDefault="00CB176A" w:rsidP="009A5F2C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 w:rsidR="00AD7FAE">
              <w:rPr>
                <w:sz w:val="18"/>
                <w:szCs w:val="18"/>
              </w:rPr>
              <w:t xml:space="preserve">–    </w:t>
            </w:r>
            <w:r w:rsidR="009A5F2C">
              <w:rPr>
                <w:sz w:val="18"/>
                <w:szCs w:val="18"/>
              </w:rPr>
              <w:t>10 101,01</w:t>
            </w:r>
            <w:r w:rsidRPr="000F09B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с.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7F82" w:rsidRDefault="009A5F2C" w:rsidP="00B331D0">
            <w:pPr>
              <w:pStyle w:val="a9"/>
              <w:ind w:left="0"/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Ремонт автомобильной дороги местного значения по ул.Зеленая от дома №108 до ул. Мичурина  протяженностью 100м, по ул. </w:t>
            </w:r>
            <w:proofErr w:type="spellStart"/>
            <w:r w:rsidRPr="009A5F2C">
              <w:rPr>
                <w:sz w:val="18"/>
                <w:szCs w:val="18"/>
              </w:rPr>
              <w:t>Шулайкина</w:t>
            </w:r>
            <w:proofErr w:type="spellEnd"/>
            <w:r w:rsidRPr="009A5F2C">
              <w:rPr>
                <w:sz w:val="18"/>
                <w:szCs w:val="18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9A5F2C">
              <w:rPr>
                <w:sz w:val="18"/>
                <w:szCs w:val="18"/>
              </w:rPr>
              <w:t>поселенияСтарый</w:t>
            </w:r>
            <w:proofErr w:type="spell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A5F2C">
              <w:rPr>
                <w:sz w:val="18"/>
                <w:szCs w:val="18"/>
              </w:rPr>
              <w:t>Похвистневский</w:t>
            </w:r>
            <w:proofErr w:type="spellEnd"/>
            <w:r w:rsidRPr="009A5F2C">
              <w:rPr>
                <w:sz w:val="18"/>
                <w:szCs w:val="18"/>
              </w:rPr>
              <w:t xml:space="preserve"> Самарской </w:t>
            </w:r>
            <w:r w:rsidRPr="009A5F2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9A5F2C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CB17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 388,09 (</w:t>
            </w:r>
            <w:r w:rsidRPr="000F09BF">
              <w:rPr>
                <w:sz w:val="18"/>
                <w:szCs w:val="18"/>
              </w:rPr>
              <w:t>субсидии из обл. бюджета -</w:t>
            </w:r>
            <w:r>
              <w:rPr>
                <w:sz w:val="18"/>
                <w:szCs w:val="18"/>
              </w:rPr>
              <w:t xml:space="preserve">2 000 000,0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0F09BF">
              <w:rPr>
                <w:sz w:val="18"/>
                <w:szCs w:val="18"/>
              </w:rPr>
              <w:t xml:space="preserve"> </w:t>
            </w:r>
          </w:p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>-53 388,09руб.)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</w:tr>
      <w:tr w:rsidR="00D377D4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D4" w:rsidRDefault="00D377D4" w:rsidP="00D37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9A5F2C" w:rsidRDefault="00D377D4" w:rsidP="00D377D4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9A5F2C" w:rsidRDefault="00D377D4" w:rsidP="00D377D4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с.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9A5F2C" w:rsidRDefault="000B75F0" w:rsidP="00D377D4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</w:t>
            </w:r>
            <w:bookmarkStart w:id="0" w:name="_GoBack"/>
            <w:bookmarkEnd w:id="0"/>
            <w:r w:rsidRPr="00CD2B82">
              <w:rPr>
                <w:sz w:val="20"/>
                <w:szCs w:val="20"/>
              </w:rPr>
              <w:t xml:space="preserve">емонт автомобильной дороги местного значения по </w:t>
            </w:r>
            <w:proofErr w:type="spellStart"/>
            <w:r w:rsidRPr="00CD2B82">
              <w:rPr>
                <w:sz w:val="20"/>
                <w:szCs w:val="20"/>
              </w:rPr>
              <w:t>ул</w:t>
            </w:r>
            <w:proofErr w:type="gramStart"/>
            <w:r w:rsidRPr="00CD2B82">
              <w:rPr>
                <w:sz w:val="20"/>
                <w:szCs w:val="20"/>
              </w:rPr>
              <w:t>.В</w:t>
            </w:r>
            <w:proofErr w:type="gramEnd"/>
            <w:r w:rsidRPr="00CD2B82">
              <w:rPr>
                <w:sz w:val="20"/>
                <w:szCs w:val="20"/>
              </w:rPr>
              <w:t>отлашова</w:t>
            </w:r>
            <w:proofErr w:type="spellEnd"/>
            <w:r w:rsidRPr="00CD2B82">
              <w:rPr>
                <w:sz w:val="20"/>
                <w:szCs w:val="20"/>
              </w:rPr>
              <w:t xml:space="preserve"> от дома №7 до дома №1,  протяженность 150м , в с.Старый </w:t>
            </w:r>
            <w:proofErr w:type="spellStart"/>
            <w:r w:rsidRPr="00CD2B82">
              <w:rPr>
                <w:sz w:val="20"/>
                <w:szCs w:val="20"/>
              </w:rPr>
              <w:t>Аманак</w:t>
            </w:r>
            <w:proofErr w:type="spellEnd"/>
            <w:r w:rsidRPr="00CD2B82">
              <w:rPr>
                <w:sz w:val="20"/>
                <w:szCs w:val="20"/>
              </w:rPr>
              <w:t xml:space="preserve"> сельского поселения Старый </w:t>
            </w:r>
            <w:proofErr w:type="spellStart"/>
            <w:r w:rsidRPr="00CD2B82">
              <w:rPr>
                <w:sz w:val="20"/>
                <w:szCs w:val="20"/>
              </w:rPr>
              <w:t>Аманак</w:t>
            </w:r>
            <w:proofErr w:type="spellEnd"/>
            <w:r w:rsidRPr="00CD2B8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D2B82">
              <w:rPr>
                <w:sz w:val="20"/>
                <w:szCs w:val="20"/>
              </w:rPr>
              <w:t>Похвистневский</w:t>
            </w:r>
            <w:proofErr w:type="spellEnd"/>
            <w:r w:rsidRPr="00CD2B82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F51ED" w:rsidRDefault="00D377D4" w:rsidP="00D377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0F09B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0F09BF" w:rsidRDefault="00D377D4" w:rsidP="00D37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2 020 202,02</w:t>
            </w:r>
            <w:r w:rsidRPr="000F09BF">
              <w:rPr>
                <w:sz w:val="18"/>
                <w:szCs w:val="18"/>
              </w:rPr>
              <w:t xml:space="preserve"> руб</w:t>
            </w:r>
            <w:proofErr w:type="gramStart"/>
            <w:r w:rsidRPr="000F09BF">
              <w:rPr>
                <w:sz w:val="18"/>
                <w:szCs w:val="18"/>
              </w:rPr>
              <w:t>.(</w:t>
            </w:r>
            <w:proofErr w:type="gramEnd"/>
            <w:r w:rsidRPr="000F09BF">
              <w:rPr>
                <w:sz w:val="18"/>
                <w:szCs w:val="18"/>
              </w:rPr>
              <w:t xml:space="preserve"> субсидии из обл. бюджета -</w:t>
            </w:r>
            <w:r>
              <w:rPr>
                <w:sz w:val="18"/>
                <w:szCs w:val="18"/>
              </w:rPr>
              <w:t>2 000 000</w:t>
            </w:r>
            <w:r w:rsidRPr="000F09BF">
              <w:rPr>
                <w:sz w:val="18"/>
                <w:szCs w:val="18"/>
              </w:rPr>
              <w:t xml:space="preserve"> руб. </w:t>
            </w:r>
          </w:p>
          <w:p w:rsidR="00D377D4" w:rsidRDefault="00D377D4" w:rsidP="00D377D4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>–    20202,02</w:t>
            </w:r>
            <w:r w:rsidRPr="000F09B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D4" w:rsidRPr="00C5350F" w:rsidRDefault="00D377D4" w:rsidP="00D377D4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разделу "Ремонт дорог":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D7F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AD7FAE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9A5F2C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CB176A" w:rsidP="00D377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="00D377D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D377D4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0,03</w:t>
            </w:r>
          </w:p>
        </w:tc>
      </w:tr>
      <w:tr w:rsidR="00AD7FAE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FAE" w:rsidRPr="00780B8D" w:rsidRDefault="00AD7FAE" w:rsidP="00AD7FAE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D377D4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2,0</w:t>
            </w:r>
            <w:r w:rsidR="00D377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D377D4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0,03</w:t>
            </w:r>
          </w:p>
        </w:tc>
      </w:tr>
    </w:tbl>
    <w:p w:rsidR="00A536EC" w:rsidRDefault="00A536EC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A77246" w:rsidRDefault="00A77246" w:rsidP="003F2810">
      <w:pPr>
        <w:tabs>
          <w:tab w:val="left" w:pos="2235"/>
        </w:tabs>
      </w:pPr>
    </w:p>
    <w:p w:rsidR="00AD7FAE" w:rsidRDefault="00AD7FAE" w:rsidP="003F2810">
      <w:pPr>
        <w:tabs>
          <w:tab w:val="left" w:pos="2235"/>
        </w:tabs>
      </w:pPr>
    </w:p>
    <w:p w:rsidR="00AD7FAE" w:rsidRDefault="00AD7FAE" w:rsidP="00AD7FAE">
      <w:pPr>
        <w:tabs>
          <w:tab w:val="left" w:pos="2235"/>
        </w:tabs>
        <w:sectPr w:rsidR="00AD7FAE" w:rsidSect="00905EAA">
          <w:headerReference w:type="default" r:id="rId9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>
        <w:br w:type="textWrapping" w:clear="all"/>
      </w:r>
    </w:p>
    <w:p w:rsidR="00A77246" w:rsidRPr="00780B8D" w:rsidRDefault="00A77246" w:rsidP="00DD4896">
      <w:pPr>
        <w:pStyle w:val="ConsPlusCell"/>
        <w:widowControl/>
        <w:snapToGrid w:val="0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1C" w:rsidRDefault="00B41D1C" w:rsidP="00651D0B">
      <w:r>
        <w:separator/>
      </w:r>
    </w:p>
  </w:endnote>
  <w:endnote w:type="continuationSeparator" w:id="0">
    <w:p w:rsidR="00B41D1C" w:rsidRDefault="00B41D1C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1C" w:rsidRDefault="00B41D1C" w:rsidP="00651D0B">
      <w:r>
        <w:separator/>
      </w:r>
    </w:p>
  </w:footnote>
  <w:footnote w:type="continuationSeparator" w:id="0">
    <w:p w:rsidR="00B41D1C" w:rsidRDefault="00B41D1C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B75F0"/>
    <w:rsid w:val="000D2B4A"/>
    <w:rsid w:val="000F09BF"/>
    <w:rsid w:val="001043DE"/>
    <w:rsid w:val="00110A38"/>
    <w:rsid w:val="00122092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263AA"/>
    <w:rsid w:val="00390648"/>
    <w:rsid w:val="003D2E68"/>
    <w:rsid w:val="003F2810"/>
    <w:rsid w:val="003F2F0C"/>
    <w:rsid w:val="003F6720"/>
    <w:rsid w:val="004022D9"/>
    <w:rsid w:val="004145F3"/>
    <w:rsid w:val="00433C26"/>
    <w:rsid w:val="00436C2D"/>
    <w:rsid w:val="00447736"/>
    <w:rsid w:val="004902C7"/>
    <w:rsid w:val="00490E63"/>
    <w:rsid w:val="004A28A5"/>
    <w:rsid w:val="004B4B71"/>
    <w:rsid w:val="004C11B8"/>
    <w:rsid w:val="004C2340"/>
    <w:rsid w:val="004D1635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C1534"/>
    <w:rsid w:val="007E3A01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536EC"/>
    <w:rsid w:val="00A77246"/>
    <w:rsid w:val="00A77400"/>
    <w:rsid w:val="00AB6B9F"/>
    <w:rsid w:val="00AC0EB8"/>
    <w:rsid w:val="00AC7258"/>
    <w:rsid w:val="00AD7FAE"/>
    <w:rsid w:val="00AE4389"/>
    <w:rsid w:val="00AE4617"/>
    <w:rsid w:val="00AF6BB3"/>
    <w:rsid w:val="00B331D0"/>
    <w:rsid w:val="00B41D1C"/>
    <w:rsid w:val="00B45036"/>
    <w:rsid w:val="00B458E6"/>
    <w:rsid w:val="00B702CF"/>
    <w:rsid w:val="00BB1A75"/>
    <w:rsid w:val="00BB44E7"/>
    <w:rsid w:val="00BD3640"/>
    <w:rsid w:val="00BD6BF1"/>
    <w:rsid w:val="00BE0312"/>
    <w:rsid w:val="00BE1B97"/>
    <w:rsid w:val="00C176D2"/>
    <w:rsid w:val="00C32362"/>
    <w:rsid w:val="00C44BC7"/>
    <w:rsid w:val="00C5350F"/>
    <w:rsid w:val="00C57F82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377D4"/>
    <w:rsid w:val="00D77799"/>
    <w:rsid w:val="00D77A7D"/>
    <w:rsid w:val="00D83102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87880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0E80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ascii="Calibri" w:eastAsia="Calibri" w:hAnsi="Calibri"/>
      <w:sz w:val="26"/>
      <w:szCs w:val="26"/>
      <w:lang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A803-7C16-41B6-BCE6-F0A9B0BD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СП Староганькино</dc:creator>
  <cp:keywords/>
  <dc:description/>
  <cp:lastModifiedBy>Пользователь Windows</cp:lastModifiedBy>
  <cp:revision>141</cp:revision>
  <cp:lastPrinted>2024-03-01T06:05:00Z</cp:lastPrinted>
  <dcterms:created xsi:type="dcterms:W3CDTF">2020-04-30T07:24:00Z</dcterms:created>
  <dcterms:modified xsi:type="dcterms:W3CDTF">2024-03-01T11:01:00Z</dcterms:modified>
</cp:coreProperties>
</file>