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    СОБРАНИЕ</w:t>
      </w:r>
    </w:p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ПРЕДСТАВИТЕЛЕЙ</w:t>
      </w:r>
    </w:p>
    <w:p w:rsidR="00601320" w:rsidRDefault="00601320" w:rsidP="00601320">
      <w:pPr>
        <w:tabs>
          <w:tab w:val="left" w:pos="6798"/>
        </w:tabs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СЕЛЬСКОГО ПОСЕЛЕНИЯ                                        </w:t>
      </w:r>
    </w:p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 ПОДБЕЛЬСК</w:t>
      </w:r>
    </w:p>
    <w:p w:rsidR="00601320" w:rsidRDefault="00601320" w:rsidP="00601320">
      <w:pPr>
        <w:suppressAutoHyphens/>
        <w:ind w:right="4855"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МУНИЦИПАЛЬНОГО РАЙОНА</w:t>
      </w:r>
    </w:p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ПОХВИСТНЕВСКИЙ</w:t>
      </w:r>
    </w:p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САМАРСКОЙ ОБЛАСТИ                                                </w:t>
      </w:r>
    </w:p>
    <w:p w:rsidR="00601320" w:rsidRDefault="00601320" w:rsidP="00601320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  третьего созыва                                                  </w:t>
      </w:r>
    </w:p>
    <w:p w:rsidR="00601320" w:rsidRDefault="00601320" w:rsidP="00601320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               РЕШЕНИЕ</w:t>
      </w:r>
    </w:p>
    <w:p w:rsidR="00601320" w:rsidRDefault="00601320" w:rsidP="00601320">
      <w:pPr>
        <w:autoSpaceDE w:val="0"/>
        <w:autoSpaceDN w:val="0"/>
        <w:adjustRightInd w:val="0"/>
        <w:ind w:left="-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21 сентября 2018 года  № 94</w:t>
      </w:r>
    </w:p>
    <w:p w:rsidR="00601320" w:rsidRDefault="00601320" w:rsidP="00601320">
      <w:pPr>
        <w:autoSpaceDE w:val="0"/>
        <w:autoSpaceDN w:val="0"/>
        <w:adjustRightInd w:val="0"/>
        <w:ind w:left="-360" w:firstLine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</w:p>
    <w:p w:rsidR="00601320" w:rsidRDefault="00601320" w:rsidP="00601320">
      <w:pPr>
        <w:pStyle w:val="a3"/>
        <w:spacing w:line="240" w:lineRule="auto"/>
        <w:rPr>
          <w:sz w:val="18"/>
          <w:szCs w:val="18"/>
        </w:rPr>
      </w:pPr>
    </w:p>
    <w:p w:rsidR="00601320" w:rsidRDefault="00601320" w:rsidP="00601320">
      <w:pPr>
        <w:pStyle w:val="a3"/>
        <w:spacing w:line="240" w:lineRule="auto"/>
        <w:jc w:val="left"/>
        <w:rPr>
          <w:sz w:val="16"/>
          <w:szCs w:val="16"/>
        </w:rPr>
      </w:pPr>
    </w:p>
    <w:p w:rsidR="00601320" w:rsidRDefault="00601320" w:rsidP="00601320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Собрания представителей </w:t>
      </w:r>
    </w:p>
    <w:p w:rsidR="00601320" w:rsidRDefault="00601320" w:rsidP="00601320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  <w:lang w:val="ru-RU"/>
        </w:rPr>
        <w:t xml:space="preserve">Старый </w:t>
      </w:r>
      <w:proofErr w:type="spellStart"/>
      <w:r>
        <w:rPr>
          <w:sz w:val="24"/>
          <w:szCs w:val="24"/>
          <w:lang w:val="ru-RU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601320" w:rsidRDefault="00601320" w:rsidP="00601320">
      <w:pPr>
        <w:pStyle w:val="a3"/>
        <w:spacing w:line="240" w:lineRule="auto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от </w:t>
      </w:r>
      <w:r>
        <w:rPr>
          <w:sz w:val="24"/>
          <w:szCs w:val="24"/>
          <w:lang w:val="ru-RU"/>
        </w:rPr>
        <w:t>27.10.2017г. № 61</w:t>
      </w:r>
    </w:p>
    <w:p w:rsidR="00601320" w:rsidRDefault="00601320" w:rsidP="00601320">
      <w:pPr>
        <w:rPr>
          <w:sz w:val="24"/>
          <w:szCs w:val="24"/>
        </w:rPr>
      </w:pPr>
      <w:bookmarkStart w:id="0" w:name="_Hlk520360196"/>
      <w:r>
        <w:rPr>
          <w:bCs/>
          <w:sz w:val="24"/>
          <w:szCs w:val="24"/>
        </w:rPr>
        <w:t>«Об утверждении Правил благоустройства</w:t>
      </w:r>
    </w:p>
    <w:p w:rsidR="00601320" w:rsidRDefault="00601320" w:rsidP="00601320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</w:p>
    <w:p w:rsidR="00601320" w:rsidRDefault="00601320" w:rsidP="0060132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Похвистневский</w:t>
      </w:r>
      <w:proofErr w:type="spellEnd"/>
    </w:p>
    <w:p w:rsidR="00601320" w:rsidRDefault="00601320" w:rsidP="006013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области»</w:t>
      </w:r>
    </w:p>
    <w:p w:rsidR="00601320" w:rsidRDefault="00601320" w:rsidP="00601320">
      <w:pPr>
        <w:pStyle w:val="a3"/>
        <w:spacing w:line="240" w:lineRule="auto"/>
        <w:jc w:val="lef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bookmarkEnd w:id="0"/>
    <w:p w:rsidR="00601320" w:rsidRDefault="00601320" w:rsidP="00601320">
      <w:pPr>
        <w:pStyle w:val="a3"/>
        <w:ind w:firstLine="708"/>
        <w:rPr>
          <w:sz w:val="16"/>
          <w:szCs w:val="16"/>
        </w:rPr>
      </w:pP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Собрание представителей сельского поселения </w:t>
      </w:r>
      <w:r>
        <w:rPr>
          <w:szCs w:val="28"/>
          <w:lang w:val="ru-RU"/>
        </w:rPr>
        <w:t xml:space="preserve">Старый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</w:rPr>
        <w:t xml:space="preserve"> Самарской области</w:t>
      </w:r>
    </w:p>
    <w:p w:rsidR="00601320" w:rsidRDefault="00601320" w:rsidP="00601320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601320" w:rsidRDefault="00601320" w:rsidP="00601320">
      <w:pPr>
        <w:pStyle w:val="a3"/>
        <w:spacing w:line="240" w:lineRule="auto"/>
        <w:ind w:firstLine="567"/>
        <w:rPr>
          <w:szCs w:val="28"/>
          <w:lang w:val="ru-RU"/>
        </w:rPr>
      </w:pPr>
      <w:r>
        <w:rPr>
          <w:szCs w:val="28"/>
        </w:rPr>
        <w:t xml:space="preserve">Внести в решение Собрания представителей сельского поселения </w:t>
      </w:r>
      <w:proofErr w:type="spellStart"/>
      <w:r>
        <w:rPr>
          <w:szCs w:val="28"/>
          <w:lang w:val="ru-RU"/>
        </w:rPr>
        <w:t>Подбельск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</w:rPr>
        <w:t xml:space="preserve"> Самарской области от </w:t>
      </w:r>
      <w:r>
        <w:rPr>
          <w:szCs w:val="28"/>
          <w:lang w:val="ru-RU"/>
        </w:rPr>
        <w:t>27.10.2017</w:t>
      </w:r>
      <w:r>
        <w:rPr>
          <w:szCs w:val="28"/>
        </w:rPr>
        <w:t xml:space="preserve"> №</w:t>
      </w:r>
      <w:r>
        <w:rPr>
          <w:szCs w:val="28"/>
          <w:lang w:val="ru-RU"/>
        </w:rPr>
        <w:t xml:space="preserve"> 61</w:t>
      </w:r>
    </w:p>
    <w:p w:rsidR="00601320" w:rsidRDefault="00601320" w:rsidP="0060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 (далее – решение)  следующие изменения:</w:t>
      </w: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>
        <w:rPr>
          <w:bCs/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 xml:space="preserve">территории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области»</w:t>
      </w:r>
    </w:p>
    <w:p w:rsidR="00601320" w:rsidRDefault="00601320" w:rsidP="00601320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(далее – Правила) следующие изменения:</w:t>
      </w:r>
    </w:p>
    <w:p w:rsidR="00601320" w:rsidRDefault="00601320" w:rsidP="00601320">
      <w:pPr>
        <w:pStyle w:val="a3"/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Раздел 1 Правил изложить в следующей редакции: </w:t>
      </w:r>
    </w:p>
    <w:p w:rsidR="00601320" w:rsidRDefault="00601320" w:rsidP="00601320">
      <w:pPr>
        <w:pStyle w:val="a3"/>
        <w:spacing w:line="276" w:lineRule="auto"/>
        <w:ind w:left="783"/>
        <w:rPr>
          <w:szCs w:val="28"/>
        </w:rPr>
      </w:pPr>
      <w:r>
        <w:rPr>
          <w:szCs w:val="28"/>
        </w:rPr>
        <w:t>«Раздел 1. ОБЩИЕ ПОЛОЖЕНИЯ.</w:t>
      </w:r>
    </w:p>
    <w:p w:rsidR="00601320" w:rsidRDefault="00601320" w:rsidP="006013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(в дальнейшем – Правила) разработаны в соответствии с Градостроительным  кодексом РФ, Земельным кодексом РФ, Федеральным Законом РФ №131-ФЗ от 06.10.2003 г. «Об общих принципах местного самоуправления в Российской Федерации», Федеральным законом № 52-ФЗ «О санитарно-эпидемиологическом  благополучии населения», Федеральным законом № 7-ФЗ от 10.01.2002 г.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охране окружающей среды», Федеральным законом № 89-ФЗ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24.06.1998 г. «Об отходах производства и потребления», Законом Самарской области №17-ГД от 04.03.2011 года «Об основах организации благоустройства и озеленения на территории Самарской области»,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8"/>
          <w:szCs w:val="28"/>
        </w:rPr>
        <w:t xml:space="preserve">, протоколом Министерства строительства и жилищно-коммунального хозяйства Российской Федерации №410-ПРМ-АЧ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13.07.2017 года Всероссийского селекторского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жилищно-коммунального хозяйства Российской Федерации А.В. Чибиса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Закон Самарской области от 13.06.2018 № 48-ГД «О порядке определений границ прилегающих территорий для целей благоустройства в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601320" w:rsidRDefault="00601320" w:rsidP="006013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разработаны в целях обеспечения прав граждан на благополучную окружающую среду и устанавливают основные требования к составу, порядку разработки и осуществлению мероприятий в сфере благоустройства и озеленения 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320" w:rsidRDefault="00601320" w:rsidP="0060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proofErr w:type="gramStart"/>
      <w:r>
        <w:rPr>
          <w:sz w:val="28"/>
          <w:szCs w:val="28"/>
        </w:rPr>
        <w:t xml:space="preserve">Настоящие Правила  регулируют отношения, возникающие в  процессе благоустройства территории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в том числе: вопросы уборки, санитарной очистки, озеленения территорий, содержания элементов внешнего благоустройства, инженерных сетей, выполнение экологических и санитарно-гигиенических функций, рационального, бережного использования и содержания земель и отношения в сфере обращения с отходами на территории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>.</w:t>
      </w:r>
      <w:proofErr w:type="gramEnd"/>
    </w:p>
    <w:p w:rsidR="00601320" w:rsidRDefault="00601320" w:rsidP="006013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320" w:rsidRDefault="00601320" w:rsidP="00601320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1.5. Настоящие правила 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601320" w:rsidRDefault="00601320" w:rsidP="0060132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Благоустройство 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обеспечивается деятельностью:</w:t>
      </w:r>
    </w:p>
    <w:p w:rsidR="00601320" w:rsidRDefault="00601320" w:rsidP="006013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осуществляющей организационную и контролирующую функции;</w:t>
      </w:r>
    </w:p>
    <w:p w:rsidR="00601320" w:rsidRDefault="00601320" w:rsidP="006013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организаций, выполняющих работы по благоустройству  территорий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320" w:rsidRDefault="00601320" w:rsidP="006013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всех юридических лиц и индивидуальных предпринимателей (далее - организации), а также граждан, осуществляющих содержание принадлежащего им имущества, прилегающих территорий.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В настоящих Правилах применяются следующие термины с соответствующими определениями: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Бродячие собаки</w:t>
      </w:r>
      <w:r>
        <w:rPr>
          <w:rFonts w:ascii="Times New Roman" w:hAnsi="Times New Roman" w:cs="Times New Roman"/>
          <w:sz w:val="28"/>
          <w:szCs w:val="28"/>
        </w:rPr>
        <w:t xml:space="preserve"> - безнадзорные собаки, находящиеся без сопровождающего лица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Бытовые отходы</w:t>
      </w:r>
      <w:r>
        <w:rPr>
          <w:rFonts w:ascii="Times New Roman" w:hAnsi="Times New Roman" w:cs="Times New Roman"/>
          <w:sz w:val="28"/>
          <w:szCs w:val="28"/>
        </w:rPr>
        <w:t xml:space="preserve"> – отходы потребления, образующиеся  в бытовых условиях в результате жизнедеятельности населения.</w:t>
      </w:r>
    </w:p>
    <w:p w:rsidR="00601320" w:rsidRDefault="00601320" w:rsidP="0060132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Вертикальное озеленение</w:t>
      </w:r>
      <w:r>
        <w:rPr>
          <w:rFonts w:ascii="Times New Roman" w:hAnsi="Times New Roman" w:cs="Times New Roman"/>
          <w:sz w:val="28"/>
          <w:szCs w:val="2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601320" w:rsidRDefault="00601320" w:rsidP="0060132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Вывоз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перемещению бытовых отходов и мусора от мест сбора к местам их утилизации, переработки, обезвреживания и размещения.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Газон</w:t>
      </w:r>
      <w:r>
        <w:rPr>
          <w:rFonts w:ascii="Times New Roman" w:hAnsi="Times New Roman" w:cs="Times New Roman"/>
          <w:sz w:val="28"/>
          <w:szCs w:val="28"/>
        </w:rPr>
        <w:t xml:space="preserve"> – элемент благоустройства, предназначенный для размещения древесно-кустарниковой и травянистой растительности естественного или искусственного происхождения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Жилые зоны </w:t>
      </w:r>
      <w:r>
        <w:rPr>
          <w:rFonts w:ascii="Times New Roman" w:hAnsi="Times New Roman" w:cs="Times New Roman"/>
          <w:sz w:val="28"/>
          <w:szCs w:val="28"/>
        </w:rPr>
        <w:t>- это зоны застройки жилыми домами малой и средней этажности, индивидуальными жилыми домами с приусадебными земельными участками. 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объектов.</w:t>
      </w:r>
      <w:r>
        <w:rPr>
          <w:rFonts w:ascii="Times New Roman" w:hAnsi="Times New Roman" w:cs="Times New Roman"/>
          <w:sz w:val="28"/>
          <w:szCs w:val="28"/>
        </w:rPr>
        <w:br/>
        <w:t>         </w:t>
      </w:r>
      <w:r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Зоны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инженерной и транспортной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зоны, на которых размещены и функционируют сооружения и коммуникации железнодорожного, автомобильного, трубопроводного транспорта, связи, инженерного оборудования.</w:t>
      </w:r>
    </w:p>
    <w:p w:rsidR="00601320" w:rsidRDefault="00601320" w:rsidP="00601320">
      <w:pPr>
        <w:pStyle w:val="a3"/>
        <w:spacing w:line="276" w:lineRule="auto"/>
        <w:ind w:right="60" w:firstLine="708"/>
        <w:outlineLvl w:val="0"/>
        <w:rPr>
          <w:bCs/>
          <w:szCs w:val="28"/>
        </w:rPr>
      </w:pPr>
      <w:r>
        <w:rPr>
          <w:b/>
          <w:bCs/>
          <w:szCs w:val="28"/>
        </w:rPr>
        <w:t>Зоны сельскохозяйственного использования</w:t>
      </w:r>
      <w:r>
        <w:rPr>
          <w:bCs/>
          <w:szCs w:val="28"/>
        </w:rPr>
        <w:t xml:space="preserve"> - это зоны, занятые садами, огородами, сенокосами, пастбищами, а также сельскохозяйственными строениями, сооружениями.</w:t>
      </w:r>
    </w:p>
    <w:p w:rsidR="00601320" w:rsidRDefault="00601320" w:rsidP="00601320">
      <w:pPr>
        <w:pStyle w:val="a3"/>
        <w:spacing w:line="276" w:lineRule="auto"/>
        <w:ind w:right="60" w:firstLine="708"/>
        <w:outlineLvl w:val="0"/>
        <w:rPr>
          <w:bCs/>
          <w:szCs w:val="28"/>
        </w:rPr>
      </w:pPr>
      <w:r>
        <w:rPr>
          <w:b/>
          <w:bCs/>
          <w:szCs w:val="28"/>
        </w:rPr>
        <w:t>Зоны специального назначения</w:t>
      </w:r>
      <w:r>
        <w:rPr>
          <w:bCs/>
          <w:szCs w:val="28"/>
        </w:rPr>
        <w:t xml:space="preserve"> – это зоны, на которых расположены кладбища, свалки бытовых отходов.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Контейнер</w:t>
      </w:r>
      <w:r>
        <w:rPr>
          <w:rFonts w:ascii="Times New Roman" w:hAnsi="Times New Roman" w:cs="Times New Roman"/>
          <w:sz w:val="28"/>
          <w:szCs w:val="28"/>
        </w:rPr>
        <w:t xml:space="preserve"> – стандартная емкость для сбора, накопления твердых бытовых отходов, мусора.</w:t>
      </w:r>
    </w:p>
    <w:p w:rsidR="00601320" w:rsidRDefault="00601320" w:rsidP="0060132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Контейнерная площадка </w:t>
      </w:r>
      <w:r>
        <w:rPr>
          <w:rFonts w:ascii="Times New Roman" w:hAnsi="Times New Roman" w:cs="Times New Roman"/>
          <w:sz w:val="28"/>
          <w:szCs w:val="28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</w:p>
    <w:p w:rsidR="00601320" w:rsidRDefault="00601320" w:rsidP="0060132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Крупногабаритные отходы (КГО)</w:t>
      </w:r>
      <w:r>
        <w:rPr>
          <w:rFonts w:ascii="Times New Roman" w:hAnsi="Times New Roman" w:cs="Times New Roman"/>
          <w:sz w:val="28"/>
          <w:szCs w:val="28"/>
        </w:rPr>
        <w:t xml:space="preserve"> – отходы изделий, потерявших свое потребительское назначение (диваны, гарнитуры, телевизоры и мусор после ремонта).</w:t>
      </w:r>
      <w:r>
        <w:rPr>
          <w:rFonts w:ascii="Times New Roman" w:hAnsi="Times New Roman" w:cs="Times New Roman"/>
          <w:sz w:val="28"/>
          <w:szCs w:val="28"/>
        </w:rPr>
        <w:br/>
        <w:t>       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Малые архитектурные формы</w:t>
      </w:r>
      <w:r>
        <w:rPr>
          <w:rFonts w:ascii="Times New Roman" w:hAnsi="Times New Roman" w:cs="Times New Roman"/>
          <w:sz w:val="28"/>
          <w:szCs w:val="28"/>
        </w:rPr>
        <w:t xml:space="preserve"> - беседки, теневые навесы, цветочницы, скамьи, урны, декоративные бассейны, фонтаны, устройства для игр детей, отдыха взрослого населения, газетные стенды, павильоны для ожидания автотранспорта.</w:t>
      </w:r>
      <w:proofErr w:type="gramEnd"/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Мусор </w:t>
      </w:r>
      <w:r>
        <w:rPr>
          <w:rFonts w:ascii="Times New Roman" w:hAnsi="Times New Roman" w:cs="Times New Roman"/>
          <w:sz w:val="28"/>
          <w:szCs w:val="28"/>
        </w:rPr>
        <w:t>- мелкие неоднородные сухие или влажные отходы.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твердых бытовых отходов, другого мусора, образованного в результате деятельности предприятий, организаций, предпринимателей и физических лиц.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Нестационарные объекты</w:t>
      </w:r>
      <w:r>
        <w:rPr>
          <w:rFonts w:ascii="Times New Roman" w:hAnsi="Times New Roman" w:cs="Times New Roman"/>
          <w:sz w:val="28"/>
          <w:szCs w:val="28"/>
        </w:rPr>
        <w:t xml:space="preserve">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услуг.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b/>
          <w:szCs w:val="28"/>
        </w:rPr>
        <w:t>Объекты благоустройства территории</w:t>
      </w:r>
      <w:r>
        <w:rPr>
          <w:szCs w:val="28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lastRenderedPageBreak/>
        <w:t>дворовые территории;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детские и спортивные площадки;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площадки для выгула животных;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парковки (парковочные места);</w:t>
      </w:r>
    </w:p>
    <w:p w:rsidR="00601320" w:rsidRDefault="00601320" w:rsidP="00601320">
      <w:pPr>
        <w:pStyle w:val="a3"/>
        <w:numPr>
          <w:ilvl w:val="0"/>
          <w:numId w:val="2"/>
        </w:numPr>
        <w:spacing w:line="276" w:lineRule="auto"/>
        <w:rPr>
          <w:caps/>
          <w:szCs w:val="28"/>
        </w:rPr>
      </w:pPr>
      <w:r>
        <w:rPr>
          <w:szCs w:val="28"/>
        </w:rPr>
        <w:t>парки, скверы, иные зеленые зоны;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8)технические и санитарно-защитные зоны».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Объекты для размещения рекламы и иной информации </w:t>
      </w:r>
      <w:r>
        <w:rPr>
          <w:rFonts w:ascii="Times New Roman" w:hAnsi="Times New Roman" w:cs="Times New Roman"/>
          <w:sz w:val="28"/>
          <w:szCs w:val="28"/>
        </w:rPr>
        <w:t>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средства).</w:t>
      </w:r>
    </w:p>
    <w:p w:rsidR="00601320" w:rsidRDefault="00601320" w:rsidP="0060132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sz w:val="28"/>
          <w:szCs w:val="28"/>
        </w:rPr>
        <w:t xml:space="preserve"> – это зоны, на которых размещены объекты здравоохранения, культуры, торговли, общественного питания, бытового обслуживания, коммерческой деятельности, а также образовательные учреждения, иные здания, строения и сооружения, стоянки автомобильного транспорта.</w:t>
      </w:r>
      <w:proofErr w:type="gramEnd"/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Ограждающие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ворота, калитки, шлагбаумы, в том числе автоматические, и декоративные ограждения (заборы).</w:t>
      </w:r>
    </w:p>
    <w:p w:rsidR="00601320" w:rsidRDefault="00601320" w:rsidP="00601320">
      <w:pPr>
        <w:pStyle w:val="formattext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Озеленение</w:t>
      </w:r>
      <w:r>
        <w:rPr>
          <w:sz w:val="28"/>
          <w:szCs w:val="28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Пешеходные зоны</w:t>
      </w:r>
      <w:r>
        <w:rPr>
          <w:rFonts w:ascii="Times New Roman" w:hAnsi="Times New Roman" w:cs="Times New Roman"/>
          <w:sz w:val="28"/>
          <w:szCs w:val="28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Пешеходные части площади</w:t>
      </w:r>
      <w:r>
        <w:rPr>
          <w:rFonts w:ascii="Times New Roman" w:hAnsi="Times New Roman" w:cs="Times New Roman"/>
          <w:sz w:val="28"/>
          <w:szCs w:val="28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1320" w:rsidRDefault="00601320" w:rsidP="00601320">
      <w:pPr>
        <w:pStyle w:val="formattext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Подземные и наземные инженерные сети и коммуникации</w:t>
      </w:r>
      <w:r>
        <w:rPr>
          <w:sz w:val="28"/>
          <w:szCs w:val="28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 защитные сооружения гражданской обороны, трансформаторные подстанции, центральные тепловые пункты,      ремонтно-эксплуатационные комплексы и постройки, диспетчерские пункты.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bCs/>
          <w:szCs w:val="28"/>
        </w:rPr>
      </w:pPr>
      <w:r>
        <w:rPr>
          <w:b/>
          <w:bCs/>
          <w:szCs w:val="28"/>
        </w:rPr>
        <w:t>Прилегающие территории</w:t>
      </w:r>
      <w:r>
        <w:rPr>
          <w:bCs/>
          <w:szCs w:val="28"/>
        </w:rPr>
        <w:t xml:space="preserve">  -  </w:t>
      </w:r>
      <w:r>
        <w:rPr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>
        <w:rPr>
          <w:szCs w:val="28"/>
        </w:rPr>
        <w:lastRenderedPageBreak/>
        <w:t>благоустройства территории муниципального образования в соответствии с порядком, установленным законом Самарской области от 13.06.18 № 48-ГД «О порядке определений границ прилегающих территорий для целей благоустройства в Самарской области</w:t>
      </w:r>
      <w:r>
        <w:rPr>
          <w:bCs/>
          <w:szCs w:val="28"/>
        </w:rPr>
        <w:t>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Придомовая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- определенный участок земли, который прикреплен к той или иной многоквартирной застройке. Размеры придомовых территорий определяются специальными положениями государственных строительных нормативных актов. В состав придомовой территории входят следующие элементы: участки земли под жилыми домами или одним домом,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тротуары и проезды, а также социально важные составляющие данной территории, к которым можно отнести озелененные территории, автостоянки, площадки хозяйственного предназначения, игровые площадки и т.д.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szCs w:val="28"/>
        </w:rPr>
      </w:pPr>
      <w:r>
        <w:rPr>
          <w:b/>
          <w:szCs w:val="28"/>
        </w:rPr>
        <w:t>Произведения монументально-декоративного искусства</w:t>
      </w:r>
      <w:r>
        <w:rPr>
          <w:szCs w:val="28"/>
        </w:rPr>
        <w:t xml:space="preserve"> - декоративные бассейны, обелиски, памятные доски, скульптуры, стелы.    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szCs w:val="28"/>
        </w:rPr>
      </w:pPr>
      <w:r>
        <w:rPr>
          <w:b/>
          <w:bCs/>
          <w:szCs w:val="28"/>
        </w:rPr>
        <w:t>Рекреационные зоны</w:t>
      </w:r>
      <w:r>
        <w:rPr>
          <w:bCs/>
          <w:szCs w:val="28"/>
        </w:rPr>
        <w:t xml:space="preserve"> - зоны для организации мест отдыха населения и включающие в себя: парки, леса, лесопарки, пляжи и иные объекты</w:t>
      </w:r>
      <w:r>
        <w:rPr>
          <w:b/>
          <w:bCs/>
          <w:szCs w:val="28"/>
        </w:rPr>
        <w:t>.</w:t>
      </w:r>
    </w:p>
    <w:p w:rsidR="00601320" w:rsidRDefault="00601320" w:rsidP="0060132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Санитарная очистка территории</w:t>
      </w:r>
      <w:r>
        <w:rPr>
          <w:sz w:val="28"/>
          <w:szCs w:val="28"/>
        </w:rPr>
        <w:t xml:space="preserve"> - зачистка территорий, сбор, вывоз и утилизация (обезвреживание) твердых бытовых отходов (ТБО) и мусора.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одним из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сбор и вывоз бытовых отходов и мусора.</w:t>
      </w:r>
    </w:p>
    <w:p w:rsidR="00601320" w:rsidRDefault="00601320" w:rsidP="006013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лиц, в том числе площади, улицы, проезды, набережные, скверы, парки, бульвары, детские, спортивные и спортивно-игровые площадки и площадки для выгула собак.</w:t>
      </w:r>
      <w:proofErr w:type="gramEnd"/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bCs/>
          <w:szCs w:val="28"/>
        </w:rPr>
      </w:pPr>
      <w:r>
        <w:rPr>
          <w:b/>
          <w:bCs/>
          <w:szCs w:val="28"/>
        </w:rPr>
        <w:t>Уборка территории</w:t>
      </w:r>
      <w:r>
        <w:rPr>
          <w:bCs/>
          <w:szCs w:val="28"/>
        </w:rPr>
        <w:t xml:space="preserve"> – проведение мероприятий, направленных на  обеспечение  экологического и санитарно-эпидемиологического благополучия населения и охрану окружающей среды. </w:t>
      </w:r>
      <w:r>
        <w:rPr>
          <w:szCs w:val="28"/>
        </w:rPr>
        <w:t xml:space="preserve">В это понятие  входят все виды уборочных работ, которые необходимо выполнять гражданам и хозяйствующим субъектам  согласно требованиям  администрации сельского поселения </w:t>
      </w:r>
      <w:r>
        <w:rPr>
          <w:szCs w:val="28"/>
          <w:lang w:val="ru-RU"/>
        </w:rPr>
        <w:t xml:space="preserve">Старый </w:t>
      </w:r>
      <w:proofErr w:type="spellStart"/>
      <w:r>
        <w:rPr>
          <w:szCs w:val="28"/>
          <w:lang w:val="ru-RU"/>
        </w:rPr>
        <w:t>Аманак</w:t>
      </w:r>
      <w:proofErr w:type="spellEnd"/>
      <w:r>
        <w:rPr>
          <w:szCs w:val="28"/>
        </w:rPr>
        <w:t>, а именно:</w:t>
      </w:r>
      <w:r>
        <w:rPr>
          <w:bCs/>
          <w:szCs w:val="28"/>
        </w:rPr>
        <w:t xml:space="preserve"> очистка территории от мусора, покос сорной растительности при достижении  растениями высоты 15 см, вырубка древесной поросли, освобождение территории от  </w:t>
      </w:r>
      <w:proofErr w:type="spellStart"/>
      <w:r>
        <w:rPr>
          <w:bCs/>
          <w:szCs w:val="28"/>
        </w:rPr>
        <w:t>крупно-габаритных</w:t>
      </w:r>
      <w:proofErr w:type="spellEnd"/>
      <w:r>
        <w:rPr>
          <w:bCs/>
          <w:szCs w:val="28"/>
        </w:rPr>
        <w:t xml:space="preserve">  и строительных отходов, металлолома, кузовов автомобилей, отходов производства и животноводства и других предметов временного хранения.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szCs w:val="28"/>
        </w:rPr>
      </w:pPr>
      <w:r>
        <w:rPr>
          <w:b/>
          <w:szCs w:val="28"/>
        </w:rPr>
        <w:t>Уполномоченные лица</w:t>
      </w:r>
      <w:r>
        <w:rPr>
          <w:szCs w:val="28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bCs/>
          <w:szCs w:val="28"/>
        </w:rPr>
      </w:pPr>
      <w:r>
        <w:rPr>
          <w:b/>
          <w:szCs w:val="28"/>
        </w:rPr>
        <w:lastRenderedPageBreak/>
        <w:t>Уполномоченный орган</w:t>
      </w:r>
      <w:r>
        <w:rPr>
          <w:szCs w:val="28"/>
        </w:rPr>
        <w:t xml:space="preserve"> –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  <w:rPr>
          <w:szCs w:val="28"/>
        </w:rPr>
      </w:pPr>
      <w:r>
        <w:rPr>
          <w:b/>
          <w:szCs w:val="28"/>
        </w:rPr>
        <w:t>Фасад здания</w:t>
      </w:r>
      <w:r>
        <w:rPr>
          <w:szCs w:val="28"/>
        </w:rPr>
        <w:t xml:space="preserve"> – наружная  сторона здания или сооружения.</w:t>
      </w:r>
    </w:p>
    <w:p w:rsidR="00601320" w:rsidRDefault="00601320" w:rsidP="00601320">
      <w:pPr>
        <w:pStyle w:val="a3"/>
        <w:spacing w:line="276" w:lineRule="auto"/>
        <w:ind w:right="60" w:firstLine="540"/>
        <w:outlineLvl w:val="0"/>
      </w:pPr>
      <w:r>
        <w:rPr>
          <w:b/>
          <w:szCs w:val="28"/>
        </w:rPr>
        <w:t>Элементы благоустройства территории</w:t>
      </w:r>
      <w:r>
        <w:rPr>
          <w:szCs w:val="28"/>
        </w:rPr>
        <w:t xml:space="preserve"> - </w:t>
      </w:r>
      <w: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1.2.2. В разделе </w:t>
      </w:r>
      <w:r>
        <w:rPr>
          <w:szCs w:val="28"/>
          <w:lang w:val="ru-RU"/>
        </w:rPr>
        <w:t>10</w:t>
      </w:r>
      <w:r>
        <w:rPr>
          <w:szCs w:val="28"/>
        </w:rPr>
        <w:t xml:space="preserve"> Правил пункт </w:t>
      </w:r>
      <w:r>
        <w:rPr>
          <w:szCs w:val="28"/>
          <w:lang w:val="ru-RU"/>
        </w:rPr>
        <w:t>10.1.1</w:t>
      </w:r>
      <w:r>
        <w:rPr>
          <w:szCs w:val="28"/>
        </w:rPr>
        <w:t xml:space="preserve"> изложить в следующей редакции: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  <w:lang w:eastAsia="en-US"/>
        </w:rPr>
        <w:t>«</w:t>
      </w:r>
      <w:r>
        <w:rPr>
          <w:szCs w:val="28"/>
          <w:lang w:val="ru-RU" w:eastAsia="en-US"/>
        </w:rPr>
        <w:t xml:space="preserve">10.1.1. </w:t>
      </w:r>
      <w:r>
        <w:rPr>
          <w:szCs w:val="28"/>
          <w:lang w:eastAsia="en-US"/>
        </w:rPr>
        <w:t>Границы прилегающих территорий под содержание, благоустройство и озеленение юридическими и физическими лицами независимо от форм собственности, а также личного домовладения определяются и закрепляются в следующем порядке: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 на улицах (переулках, проходах, проездах) от здания, строения, сооружения, земельного участка или ограждения до начала придорожной обочины, включая пешеходную дорожку, тротуар при их наличии, но не менее 30 метров, с учетом следующих особенностей:</w:t>
      </w:r>
    </w:p>
    <w:p w:rsidR="00601320" w:rsidRDefault="00601320" w:rsidP="00601320">
      <w:pPr>
        <w:pStyle w:val="a3"/>
        <w:spacing w:line="276" w:lineRule="auto"/>
        <w:ind w:left="360"/>
        <w:rPr>
          <w:szCs w:val="28"/>
        </w:rPr>
      </w:pPr>
      <w:r>
        <w:t>а)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601320" w:rsidRDefault="00601320" w:rsidP="00601320">
      <w:pPr>
        <w:pStyle w:val="a3"/>
        <w:spacing w:line="276" w:lineRule="auto"/>
        <w:ind w:firstLine="360"/>
        <w:rPr>
          <w:szCs w:val="28"/>
        </w:rPr>
      </w:pPr>
      <w:r>
        <w:t>б)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01320" w:rsidRDefault="00601320" w:rsidP="00601320">
      <w:pPr>
        <w:pStyle w:val="a3"/>
        <w:spacing w:line="276" w:lineRule="auto"/>
        <w:ind w:firstLine="360"/>
        <w:rPr>
          <w:szCs w:val="28"/>
        </w:rPr>
      </w:pPr>
      <w:r>
        <w:t>в)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01320" w:rsidRDefault="00601320" w:rsidP="00601320">
      <w:pPr>
        <w:pStyle w:val="a3"/>
        <w:spacing w:line="276" w:lineRule="auto"/>
        <w:ind w:left="360"/>
        <w:rPr>
          <w:szCs w:val="28"/>
        </w:rPr>
      </w:pPr>
      <w:r>
        <w:t>г)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601320" w:rsidRDefault="00601320" w:rsidP="00601320">
      <w:pPr>
        <w:pStyle w:val="a3"/>
        <w:spacing w:line="276" w:lineRule="auto"/>
        <w:ind w:left="360"/>
        <w:rPr>
          <w:szCs w:val="28"/>
        </w:rPr>
      </w:pPr>
      <w:proofErr w:type="spellStart"/>
      <w:r>
        <w:t>д</w:t>
      </w:r>
      <w:proofErr w:type="spellEnd"/>
      <w:r>
        <w:t>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01320" w:rsidRDefault="00601320" w:rsidP="00601320">
      <w:pPr>
        <w:pStyle w:val="a3"/>
        <w:spacing w:line="276" w:lineRule="auto"/>
        <w:ind w:left="360"/>
        <w:rPr>
          <w:szCs w:val="28"/>
        </w:rPr>
      </w:pPr>
      <w:r>
        <w:t>е)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601320" w:rsidRDefault="00601320" w:rsidP="00601320">
      <w:pPr>
        <w:pStyle w:val="a3"/>
        <w:spacing w:line="276" w:lineRule="auto"/>
        <w:ind w:left="360"/>
        <w:rPr>
          <w:szCs w:val="28"/>
        </w:rPr>
      </w:pPr>
      <w:r>
        <w:lastRenderedPageBreak/>
        <w:t>ж)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r>
        <w:rPr>
          <w:szCs w:val="28"/>
        </w:rPr>
        <w:t>».</w:t>
      </w:r>
    </w:p>
    <w:p w:rsidR="00601320" w:rsidRDefault="00601320" w:rsidP="0060132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1.2.3. Пункт </w:t>
      </w:r>
      <w:r>
        <w:rPr>
          <w:szCs w:val="28"/>
          <w:lang w:val="ru-RU"/>
        </w:rPr>
        <w:t>10.1.2</w:t>
      </w:r>
      <w:r>
        <w:rPr>
          <w:szCs w:val="28"/>
        </w:rPr>
        <w:t xml:space="preserve">. Раздела </w:t>
      </w:r>
      <w:r>
        <w:rPr>
          <w:szCs w:val="28"/>
          <w:lang w:val="ru-RU"/>
        </w:rPr>
        <w:t>10</w:t>
      </w:r>
      <w:r>
        <w:rPr>
          <w:szCs w:val="28"/>
        </w:rPr>
        <w:t xml:space="preserve"> Правил изложить в следующей редакции:</w:t>
      </w:r>
    </w:p>
    <w:p w:rsidR="00601320" w:rsidRDefault="00601320" w:rsidP="0060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«10.1.2. </w:t>
      </w:r>
      <w:proofErr w:type="gramStart"/>
      <w:r>
        <w:rPr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образования».</w:t>
      </w:r>
      <w:proofErr w:type="gramEnd"/>
    </w:p>
    <w:p w:rsidR="00601320" w:rsidRDefault="00601320" w:rsidP="006013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Пункт 10.1.3 и пункт 10.1.4 Раздела 10 Правил исключить.</w:t>
      </w:r>
    </w:p>
    <w:p w:rsidR="00601320" w:rsidRDefault="00601320" w:rsidP="00601320">
      <w:pPr>
        <w:numPr>
          <w:ilvl w:val="0"/>
          <w:numId w:val="1"/>
        </w:numPr>
        <w:spacing w:line="276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601320" w:rsidRDefault="00601320" w:rsidP="00601320">
      <w:pPr>
        <w:numPr>
          <w:ilvl w:val="0"/>
          <w:numId w:val="1"/>
        </w:numPr>
        <w:spacing w:line="276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01320" w:rsidRDefault="00601320" w:rsidP="00601320">
      <w:pPr>
        <w:spacing w:line="276" w:lineRule="auto"/>
        <w:ind w:left="783"/>
        <w:jc w:val="both"/>
        <w:rPr>
          <w:sz w:val="28"/>
          <w:szCs w:val="28"/>
        </w:rPr>
      </w:pP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Н.М.Лисицына</w:t>
      </w: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 </w:t>
      </w:r>
    </w:p>
    <w:p w:rsidR="00601320" w:rsidRDefault="00601320" w:rsidP="00601320">
      <w:pPr>
        <w:spacing w:line="276" w:lineRule="auto"/>
        <w:rPr>
          <w:sz w:val="28"/>
          <w:szCs w:val="28"/>
        </w:rPr>
      </w:pP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     </w:t>
      </w:r>
      <w:proofErr w:type="spellStart"/>
      <w:r>
        <w:rPr>
          <w:sz w:val="28"/>
          <w:szCs w:val="28"/>
        </w:rPr>
        <w:t>Е.П.Худанов</w:t>
      </w:r>
      <w:proofErr w:type="spellEnd"/>
      <w:r>
        <w:rPr>
          <w:sz w:val="28"/>
          <w:szCs w:val="28"/>
        </w:rPr>
        <w:t xml:space="preserve"> </w:t>
      </w: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</w:p>
    <w:p w:rsidR="00601320" w:rsidRDefault="00601320" w:rsidP="00601320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 </w:t>
      </w:r>
    </w:p>
    <w:p w:rsidR="00601320" w:rsidRDefault="00601320" w:rsidP="00601320">
      <w:pPr>
        <w:rPr>
          <w:sz w:val="28"/>
          <w:szCs w:val="28"/>
        </w:rPr>
      </w:pPr>
    </w:p>
    <w:p w:rsidR="00601320" w:rsidRDefault="00601320" w:rsidP="00601320">
      <w:pPr>
        <w:spacing w:line="276" w:lineRule="auto"/>
        <w:jc w:val="both"/>
        <w:rPr>
          <w:sz w:val="28"/>
          <w:szCs w:val="28"/>
        </w:rPr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601320" w:rsidRDefault="00601320" w:rsidP="00601320">
      <w:pPr>
        <w:spacing w:after="240"/>
        <w:jc w:val="center"/>
      </w:pPr>
    </w:p>
    <w:p w:rsidR="00B66FAB" w:rsidRDefault="00B66FAB"/>
    <w:sectPr w:rsidR="00B66FAB" w:rsidSect="0060132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1503" w:hanging="72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863" w:hanging="1080"/>
      </w:pPr>
    </w:lvl>
    <w:lvl w:ilvl="4">
      <w:start w:val="1"/>
      <w:numFmt w:val="decimal"/>
      <w:isLgl/>
      <w:lvlText w:val="%1.%2.%3.%4.%5."/>
      <w:lvlJc w:val="left"/>
      <w:pPr>
        <w:ind w:left="1863" w:hanging="1080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">
    <w:nsid w:val="4F3F63FD"/>
    <w:multiLevelType w:val="hybridMultilevel"/>
    <w:tmpl w:val="4510FEBA"/>
    <w:lvl w:ilvl="0" w:tplc="EF484A6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1320"/>
    <w:rsid w:val="00601320"/>
    <w:rsid w:val="00B6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1320"/>
    <w:pPr>
      <w:spacing w:line="360" w:lineRule="auto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60132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uiPriority w:val="99"/>
    <w:rsid w:val="006013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1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601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16054</Characters>
  <Application>Microsoft Office Word</Application>
  <DocSecurity>0</DocSecurity>
  <Lines>133</Lines>
  <Paragraphs>37</Paragraphs>
  <ScaleCrop>false</ScaleCrop>
  <Company>Администрация Старый Аманак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2018-11-01T07:49:00Z</dcterms:created>
  <dcterms:modified xsi:type="dcterms:W3CDTF">2018-11-01T07:49:00Z</dcterms:modified>
</cp:coreProperties>
</file>