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41" w:type="dxa"/>
        <w:tblLook w:val="01E0" w:firstRow="1" w:lastRow="1" w:firstColumn="1" w:lastColumn="1" w:noHBand="0" w:noVBand="0"/>
      </w:tblPr>
      <w:tblGrid>
        <w:gridCol w:w="4111"/>
        <w:gridCol w:w="5630"/>
      </w:tblGrid>
      <w:tr w:rsidR="00F72608" w:rsidRPr="00131BE6" w:rsidTr="000B68CE">
        <w:trPr>
          <w:trHeight w:val="567"/>
        </w:trPr>
        <w:tc>
          <w:tcPr>
            <w:tcW w:w="4111" w:type="dxa"/>
          </w:tcPr>
          <w:p w:rsidR="00F72608" w:rsidRPr="00131BE6" w:rsidRDefault="00F72608" w:rsidP="00D97F73">
            <w:pPr>
              <w:pStyle w:val="1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630" w:type="dxa"/>
          </w:tcPr>
          <w:p w:rsidR="00F72608" w:rsidRPr="00131BE6" w:rsidRDefault="00F72608" w:rsidP="005531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08" w:rsidRPr="00131BE6" w:rsidRDefault="00F72608" w:rsidP="00D97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BE6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97F73" w:rsidRPr="00D97F73" w:rsidTr="0055318E">
        <w:tc>
          <w:tcPr>
            <w:tcW w:w="4219" w:type="dxa"/>
          </w:tcPr>
          <w:p w:rsidR="006E1620" w:rsidRDefault="006E1620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20" w:rsidRDefault="006E1620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7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F73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D97F73" w:rsidRPr="00D97F73" w:rsidRDefault="00AA1BBA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F7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F73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73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AA1BBA" w:rsidRDefault="00AA1BBA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7F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7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7F73" w:rsidRPr="00D97F73" w:rsidRDefault="00D97F73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</w:t>
            </w:r>
            <w:r w:rsidRPr="00D97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</w:p>
          <w:p w:rsidR="00D97F73" w:rsidRPr="00D97F73" w:rsidRDefault="00AA1BBA" w:rsidP="00D9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D97F73" w:rsidRPr="00D97F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Старый Аманак</w:t>
            </w:r>
          </w:p>
          <w:p w:rsidR="00D97F73" w:rsidRPr="00D97F73" w:rsidRDefault="00D97F73" w:rsidP="00D97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</w:tcPr>
          <w:p w:rsidR="00D97F73" w:rsidRPr="00D97F73" w:rsidRDefault="00D97F73" w:rsidP="00D97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05" w:rsidRDefault="00DA7C6A" w:rsidP="00DA7C6A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05" w:rsidRDefault="00DA7C6A" w:rsidP="00DA7C6A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сельского поселения </w:t>
      </w:r>
    </w:p>
    <w:p w:rsidR="00EA6A05" w:rsidRDefault="00AA1BBA" w:rsidP="00DA7C6A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Аманак</w:t>
      </w:r>
      <w:r w:rsidR="00DA7C6A">
        <w:rPr>
          <w:rFonts w:ascii="Times New Roman" w:hAnsi="Times New Roman" w:cs="Times New Roman"/>
          <w:sz w:val="24"/>
          <w:szCs w:val="24"/>
        </w:rPr>
        <w:t xml:space="preserve"> «Формирование </w:t>
      </w:r>
    </w:p>
    <w:p w:rsidR="00AA1BBA" w:rsidRDefault="00DA7C6A" w:rsidP="00DA7C6A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комфортной городской среды</w:t>
      </w:r>
      <w:r w:rsidR="00D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B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BA" w:rsidRDefault="00AA1BBA" w:rsidP="00DA7C6A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</w:p>
    <w:p w:rsidR="00DA7C6A" w:rsidRDefault="00AA1BBA" w:rsidP="00DA7C6A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BF7">
        <w:rPr>
          <w:rFonts w:ascii="Times New Roman" w:hAnsi="Times New Roman" w:cs="Times New Roman"/>
          <w:sz w:val="24"/>
          <w:szCs w:val="24"/>
        </w:rPr>
        <w:t>2017г.</w:t>
      </w:r>
      <w:r w:rsidR="00DA7C6A">
        <w:rPr>
          <w:rFonts w:ascii="Times New Roman" w:hAnsi="Times New Roman" w:cs="Times New Roman"/>
          <w:sz w:val="24"/>
          <w:szCs w:val="24"/>
        </w:rPr>
        <w:t>»</w:t>
      </w:r>
    </w:p>
    <w:p w:rsidR="00475697" w:rsidRDefault="00475697" w:rsidP="00475697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620" w:rsidRPr="006E1620" w:rsidRDefault="006E1620" w:rsidP="006E1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</w:t>
      </w:r>
      <w:r w:rsidRPr="006E16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E1620">
          <w:rPr>
            <w:rStyle w:val="a3"/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6E16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6E1620">
        <w:rPr>
          <w:rFonts w:ascii="Times New Roman" w:eastAsia="Calibri" w:hAnsi="Times New Roman" w:cs="Times New Roman"/>
          <w:sz w:val="28"/>
          <w:szCs w:val="28"/>
        </w:rPr>
        <w:t xml:space="preserve"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администрация сельского поселения </w:t>
      </w:r>
      <w:proofErr w:type="gramStart"/>
      <w:r w:rsidR="00AA1BBA"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eastAsia="Calibri" w:hAnsi="Times New Roman" w:cs="Times New Roman"/>
          <w:sz w:val="28"/>
          <w:szCs w:val="28"/>
        </w:rPr>
        <w:t xml:space="preserve"> Аманак</w:t>
      </w:r>
    </w:p>
    <w:p w:rsidR="006E1620" w:rsidRPr="006E1620" w:rsidRDefault="006E1620" w:rsidP="006E1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1620" w:rsidRPr="006E1620" w:rsidRDefault="006E1620" w:rsidP="006E1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6E1620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</w:t>
      </w:r>
      <w:r w:rsidR="00AA1BB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Старый Аманак </w:t>
      </w:r>
      <w:r w:rsidR="00B973AD">
        <w:rPr>
          <w:rFonts w:ascii="Times New Roman" w:hAnsi="Times New Roman" w:cs="Times New Roman"/>
          <w:sz w:val="28"/>
          <w:szCs w:val="28"/>
        </w:rPr>
        <w:t>на</w:t>
      </w:r>
      <w:r w:rsidR="00AA1BBA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6E1620">
        <w:rPr>
          <w:rFonts w:ascii="Times New Roman" w:hAnsi="Times New Roman" w:cs="Times New Roman"/>
          <w:sz w:val="28"/>
          <w:szCs w:val="28"/>
        </w:rPr>
        <w:t>».</w:t>
      </w:r>
    </w:p>
    <w:p w:rsidR="006E1620" w:rsidRPr="006E1620" w:rsidRDefault="006E1620" w:rsidP="006E16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сельского поселения </w:t>
      </w:r>
      <w:r w:rsidR="00AA1BBA">
        <w:rPr>
          <w:rFonts w:ascii="Times New Roman" w:hAnsi="Times New Roman" w:cs="Times New Roman"/>
          <w:sz w:val="28"/>
          <w:szCs w:val="28"/>
        </w:rPr>
        <w:t>Старый Аманак</w:t>
      </w:r>
      <w:r w:rsidRPr="006E162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E1620" w:rsidRPr="006E1620" w:rsidRDefault="006E1620" w:rsidP="006E1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6E1620" w:rsidRPr="006E1620" w:rsidRDefault="006E1620" w:rsidP="006E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6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620" w:rsidRPr="006E1620" w:rsidRDefault="006E1620" w:rsidP="006E16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B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E1620">
        <w:rPr>
          <w:rFonts w:ascii="Times New Roman" w:hAnsi="Times New Roman" w:cs="Times New Roman"/>
          <w:sz w:val="28"/>
          <w:szCs w:val="28"/>
        </w:rPr>
        <w:t xml:space="preserve">поселения            </w:t>
      </w:r>
      <w:r w:rsidR="00AA1B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1620">
        <w:rPr>
          <w:rFonts w:ascii="Times New Roman" w:hAnsi="Times New Roman" w:cs="Times New Roman"/>
          <w:sz w:val="28"/>
          <w:szCs w:val="28"/>
        </w:rPr>
        <w:t xml:space="preserve">    </w:t>
      </w:r>
      <w:r w:rsidR="00AA1BBA">
        <w:rPr>
          <w:rFonts w:ascii="Times New Roman" w:hAnsi="Times New Roman" w:cs="Times New Roman"/>
          <w:sz w:val="28"/>
          <w:szCs w:val="28"/>
        </w:rPr>
        <w:t>В.П. Фадеев</w:t>
      </w:r>
    </w:p>
    <w:p w:rsidR="006E1620" w:rsidRPr="006E1620" w:rsidRDefault="006E1620" w:rsidP="006E1620">
      <w:pPr>
        <w:rPr>
          <w:rFonts w:ascii="Times New Roman" w:hAnsi="Times New Roman" w:cs="Times New Roman"/>
          <w:sz w:val="28"/>
          <w:szCs w:val="28"/>
        </w:rPr>
        <w:sectPr w:rsidR="006E1620" w:rsidRPr="006E1620" w:rsidSect="000B68CE">
          <w:pgSz w:w="11906" w:h="16838"/>
          <w:pgMar w:top="284" w:right="567" w:bottom="567" w:left="1418" w:header="709" w:footer="709" w:gutter="0"/>
          <w:cols w:space="720"/>
        </w:sectPr>
      </w:pPr>
    </w:p>
    <w:p w:rsidR="006E1620" w:rsidRPr="006E1620" w:rsidRDefault="006E1620" w:rsidP="006E16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E1620" w:rsidRPr="006E1620" w:rsidRDefault="006E1620" w:rsidP="006E16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1620" w:rsidRPr="006E1620" w:rsidRDefault="006E1620" w:rsidP="006E16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1620" w:rsidRPr="006E1620" w:rsidRDefault="00AA1BBA" w:rsidP="006E16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Аманак</w:t>
      </w:r>
    </w:p>
    <w:p w:rsidR="006E1620" w:rsidRPr="006E1620" w:rsidRDefault="006E1620" w:rsidP="006E16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от ___________ N _____</w:t>
      </w:r>
    </w:p>
    <w:p w:rsidR="006E1620" w:rsidRPr="006E1620" w:rsidRDefault="006E1620" w:rsidP="006E16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2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E1620" w:rsidRPr="006E1620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gramStart"/>
      <w:r w:rsidR="00AA1BBA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b/>
          <w:sz w:val="28"/>
          <w:szCs w:val="28"/>
        </w:rPr>
        <w:t xml:space="preserve"> Аманак</w:t>
      </w:r>
      <w:r w:rsidRPr="006E1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620" w:rsidRPr="006E1620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2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</w:t>
      </w:r>
      <w:r w:rsidR="00D63BF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A1BBA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 </w:t>
      </w:r>
      <w:proofErr w:type="gramStart"/>
      <w:r w:rsidR="00AA1BBA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BBA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AA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F4">
        <w:rPr>
          <w:rFonts w:ascii="Times New Roman" w:hAnsi="Times New Roman" w:cs="Times New Roman"/>
          <w:b/>
          <w:sz w:val="28"/>
          <w:szCs w:val="28"/>
        </w:rPr>
        <w:t>в</w:t>
      </w:r>
      <w:r w:rsidR="00D63BF7">
        <w:rPr>
          <w:rFonts w:ascii="Times New Roman" w:hAnsi="Times New Roman" w:cs="Times New Roman"/>
          <w:b/>
          <w:sz w:val="28"/>
          <w:szCs w:val="28"/>
        </w:rPr>
        <w:t xml:space="preserve"> 2017г</w:t>
      </w:r>
      <w:r w:rsidRPr="006E1620">
        <w:rPr>
          <w:rFonts w:ascii="Times New Roman" w:hAnsi="Times New Roman" w:cs="Times New Roman"/>
          <w:b/>
          <w:sz w:val="28"/>
          <w:szCs w:val="28"/>
        </w:rPr>
        <w:t>»</w:t>
      </w:r>
    </w:p>
    <w:p w:rsidR="006E1620" w:rsidRPr="006E1620" w:rsidRDefault="006E1620" w:rsidP="006E16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620" w:rsidRPr="006E1620" w:rsidRDefault="006E1620" w:rsidP="006E16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ПАСПОРТ</w:t>
      </w:r>
    </w:p>
    <w:p w:rsidR="006E1620" w:rsidRPr="006E1620" w:rsidRDefault="006E1620" w:rsidP="006E1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6E1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20" w:rsidRPr="006E1620" w:rsidRDefault="006E1620" w:rsidP="006E1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:rsidR="006E1620" w:rsidRPr="006E1620" w:rsidRDefault="006E1620" w:rsidP="006E1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620">
        <w:rPr>
          <w:rFonts w:ascii="Times New Roman" w:hAnsi="Times New Roman" w:cs="Times New Roman"/>
          <w:sz w:val="28"/>
          <w:szCs w:val="28"/>
          <w:u w:val="single"/>
        </w:rPr>
        <w:t>«Формирование комфортной городской среды</w:t>
      </w:r>
      <w:r w:rsidR="00D63BF7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AA1BBA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  <w:u w:val="single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A1BBA">
        <w:rPr>
          <w:rFonts w:ascii="Times New Roman" w:hAnsi="Times New Roman" w:cs="Times New Roman"/>
          <w:sz w:val="28"/>
          <w:szCs w:val="28"/>
          <w:u w:val="single"/>
        </w:rPr>
        <w:t>Аманак</w:t>
      </w:r>
      <w:proofErr w:type="spellEnd"/>
      <w:r w:rsidR="00AA1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51F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A1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BF7">
        <w:rPr>
          <w:rFonts w:ascii="Times New Roman" w:hAnsi="Times New Roman" w:cs="Times New Roman"/>
          <w:sz w:val="28"/>
          <w:szCs w:val="28"/>
          <w:u w:val="single"/>
        </w:rPr>
        <w:t xml:space="preserve"> 2017г.</w:t>
      </w:r>
      <w:r w:rsidRPr="006E162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E1620" w:rsidRPr="00AA1BBA" w:rsidRDefault="006E1620" w:rsidP="006E1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BB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E1620" w:rsidRPr="006E1620" w:rsidRDefault="006E1620" w:rsidP="006E1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886"/>
        <w:gridCol w:w="2622"/>
        <w:gridCol w:w="745"/>
        <w:gridCol w:w="18"/>
        <w:gridCol w:w="1607"/>
        <w:gridCol w:w="1600"/>
      </w:tblGrid>
      <w:tr w:rsidR="006E1620" w:rsidRPr="006E1620" w:rsidTr="00EA6A05">
        <w:trPr>
          <w:trHeight w:val="15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Администрация сельского  поселения </w:t>
            </w:r>
            <w:proofErr w:type="gramStart"/>
            <w:r w:rsidR="00AA1BBA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hAnsi="Times New Roman" w:cs="Times New Roman"/>
                <w:sz w:val="28"/>
                <w:szCs w:val="28"/>
              </w:rPr>
              <w:t xml:space="preserve"> Аманак</w:t>
            </w:r>
            <w:r w:rsidRPr="006E16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Похвистневский Самарской области</w:t>
            </w:r>
          </w:p>
        </w:tc>
      </w:tr>
      <w:tr w:rsidR="006E1620" w:rsidRPr="006E1620" w:rsidTr="00EA6A05">
        <w:trPr>
          <w:trHeight w:val="15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Администрация сельского  поселения </w:t>
            </w:r>
            <w:proofErr w:type="gramStart"/>
            <w:r w:rsidR="00AA1BBA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hAnsi="Times New Roman" w:cs="Times New Roman"/>
                <w:sz w:val="28"/>
                <w:szCs w:val="28"/>
              </w:rPr>
              <w:t xml:space="preserve"> Аманак</w:t>
            </w:r>
            <w:r w:rsidRPr="006E16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Похвистневский Самарской области</w:t>
            </w:r>
          </w:p>
        </w:tc>
      </w:tr>
      <w:tr w:rsidR="006E1620" w:rsidRPr="006E1620" w:rsidTr="00EA6A05">
        <w:trPr>
          <w:trHeight w:val="15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20" w:rsidRPr="006E1620" w:rsidRDefault="006E1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20" w:rsidRPr="006E1620" w:rsidRDefault="006E16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-Гражданский кодекс Российской Федерации, </w:t>
            </w:r>
          </w:p>
          <w:p w:rsidR="006E1620" w:rsidRPr="006E1620" w:rsidRDefault="006E16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-Бюджетный кодекс Российской Федерации, </w:t>
            </w:r>
          </w:p>
          <w:p w:rsidR="006E1620" w:rsidRPr="006E1620" w:rsidRDefault="006E16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6E1620" w:rsidRPr="006E1620" w:rsidRDefault="006E16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-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</w:tc>
      </w:tr>
      <w:tr w:rsidR="006E1620" w:rsidRPr="006E1620" w:rsidTr="00EA6A05">
        <w:trPr>
          <w:trHeight w:val="153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20" w:rsidRPr="006E1620" w:rsidRDefault="006E16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Повышение уровня благоустройства территории </w:t>
            </w:r>
            <w:r w:rsidRPr="006E16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6E1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gramStart"/>
            <w:r w:rsidR="00AA1BBA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hAnsi="Times New Roman" w:cs="Times New Roman"/>
                <w:sz w:val="28"/>
                <w:szCs w:val="28"/>
              </w:rPr>
              <w:t xml:space="preserve"> Аманак</w:t>
            </w:r>
            <w:r w:rsidRPr="006E16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Похвистневский Самарской области</w:t>
            </w:r>
          </w:p>
          <w:p w:rsidR="006E1620" w:rsidRPr="006E1620" w:rsidRDefault="006E162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1620" w:rsidRPr="006E1620" w:rsidTr="00EA6A05">
        <w:trPr>
          <w:trHeight w:val="1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1. Повышение </w:t>
            </w:r>
            <w:proofErr w:type="gramStart"/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уровня благоустройства дворовых территорий многоквартирных домов сельского поселения</w:t>
            </w:r>
            <w:proofErr w:type="gramEnd"/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Старый Аманак</w:t>
            </w: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1620" w:rsidRPr="006E1620" w:rsidRDefault="006E162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2. Повышение уровня благоустройства общественных территорий сельского поселения  </w:t>
            </w:r>
            <w:proofErr w:type="gramStart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Аманак</w:t>
            </w: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1620" w:rsidRPr="006E1620" w:rsidRDefault="006E162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сельского поселения </w:t>
            </w:r>
            <w:proofErr w:type="gramStart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Аманак</w:t>
            </w:r>
          </w:p>
        </w:tc>
      </w:tr>
      <w:tr w:rsidR="006E1620" w:rsidRPr="006E1620" w:rsidTr="00EA6A05">
        <w:trPr>
          <w:trHeight w:val="18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20" w:rsidRPr="006E1620" w:rsidRDefault="006E16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Увеличение количества благоустроенных дворовых территорий </w:t>
            </w: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многоквартирных сельского поселения </w:t>
            </w:r>
            <w:proofErr w:type="gramStart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Аманак</w:t>
            </w: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1620" w:rsidRPr="006E1620" w:rsidRDefault="006E162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Увеличение количества благоустроенных </w:t>
            </w: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общественных территорий сельского поселения  </w:t>
            </w:r>
            <w:proofErr w:type="gramStart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Аманак</w:t>
            </w: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E1620" w:rsidRPr="006E1620" w:rsidTr="00EA6A05">
        <w:trPr>
          <w:trHeight w:val="18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</w:tr>
      <w:tr w:rsidR="006E1620" w:rsidRPr="006E1620" w:rsidTr="00EA6A05">
        <w:trPr>
          <w:trHeight w:val="24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</w:tr>
      <w:tr w:rsidR="006E1620" w:rsidRPr="006E1620" w:rsidTr="00EA6A05">
        <w:trPr>
          <w:trHeight w:val="28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  <w:proofErr w:type="gramStart"/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6E1620" w:rsidRPr="006E1620" w:rsidTr="00EA6A05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2017 год</w:t>
            </w:r>
          </w:p>
        </w:tc>
      </w:tr>
      <w:tr w:rsidR="006E1620" w:rsidRPr="006E1620" w:rsidTr="00EA6A0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многоквартирных домов сельского поселения </w:t>
            </w:r>
            <w:proofErr w:type="gramStart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1BB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Аманак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</w:rPr>
            </w:pPr>
            <w:r w:rsidRPr="006E1620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AA1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E1620" w:rsidRPr="006E1620" w:rsidTr="00EA6A05">
        <w:trPr>
          <w:trHeight w:val="164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E162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20" w:rsidRPr="006E1620" w:rsidRDefault="006E162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6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Программы  осуществляется за счет средств</w:t>
            </w:r>
            <w:r w:rsidR="00EA6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бюджета </w:t>
            </w:r>
          </w:p>
        </w:tc>
      </w:tr>
    </w:tbl>
    <w:p w:rsidR="006E1620" w:rsidRPr="006E1620" w:rsidRDefault="006E1620" w:rsidP="006E1620">
      <w:pPr>
        <w:tabs>
          <w:tab w:val="left" w:pos="42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00E75" w:rsidRPr="00000E75" w:rsidRDefault="00000E75" w:rsidP="00000E75">
      <w:pPr>
        <w:tabs>
          <w:tab w:val="left" w:pos="42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00E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I</w:t>
      </w:r>
      <w:r w:rsidRPr="00000E7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. Основные характеристики текущего состояния благоустройства территории сельского поселения </w:t>
      </w:r>
      <w:r w:rsidR="00AA1BB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Старый Аманак</w:t>
      </w:r>
      <w:r w:rsidRPr="00000E7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муниципального района Похвистневский, описание основных проблем и прогноз развития состояния дворовых территорий и общественных территорий</w:t>
      </w:r>
    </w:p>
    <w:p w:rsidR="00000E75" w:rsidRPr="00000E75" w:rsidRDefault="00000E75" w:rsidP="00000E75">
      <w:pPr>
        <w:tabs>
          <w:tab w:val="left" w:pos="426"/>
        </w:tabs>
        <w:spacing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00E75" w:rsidRPr="0055318E" w:rsidRDefault="00000E75" w:rsidP="00000E7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ab/>
        <w:t xml:space="preserve">Одним из главных приоритетов развития территории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Старый</w:t>
      </w:r>
      <w:proofErr w:type="gramEnd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Старый</w:t>
      </w:r>
      <w:proofErr w:type="gramEnd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 xml:space="preserve"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невозможно без участия </w:t>
      </w:r>
      <w:r w:rsidRPr="0055318E">
        <w:rPr>
          <w:rFonts w:ascii="Times New Roman" w:hAnsi="Times New Roman" w:cs="Times New Roman"/>
          <w:sz w:val="28"/>
          <w:szCs w:val="28"/>
        </w:rPr>
        <w:t>средст</w:t>
      </w:r>
      <w:r w:rsidR="0055318E" w:rsidRPr="0055318E">
        <w:rPr>
          <w:rFonts w:ascii="Times New Roman" w:hAnsi="Times New Roman" w:cs="Times New Roman"/>
          <w:sz w:val="28"/>
          <w:szCs w:val="28"/>
        </w:rPr>
        <w:t>в федерального бюджета</w:t>
      </w:r>
      <w:r w:rsidRPr="0055318E">
        <w:rPr>
          <w:rFonts w:ascii="Times New Roman" w:hAnsi="Times New Roman" w:cs="Times New Roman"/>
          <w:sz w:val="28"/>
          <w:szCs w:val="28"/>
        </w:rPr>
        <w:t>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от10.02.2017 № 169).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Дворовые территории многоквартирных домов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Старый</w:t>
      </w:r>
      <w:proofErr w:type="gramEnd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По состоянию на 01.01.2017 года  в селе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Старый</w:t>
      </w:r>
      <w:proofErr w:type="gramEnd"/>
      <w:r w:rsidR="00AA1BB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AA1BBA">
        <w:rPr>
          <w:rFonts w:ascii="Times New Roman" w:hAnsi="Times New Roman" w:cs="Times New Roman"/>
          <w:sz w:val="28"/>
          <w:szCs w:val="28"/>
        </w:rPr>
        <w:t>3</w:t>
      </w:r>
      <w:r w:rsidRPr="00000E75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</w:p>
    <w:p w:rsidR="00000E75" w:rsidRPr="00000E75" w:rsidRDefault="00000E75" w:rsidP="00000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 xml:space="preserve">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отсутствии  асфальтобетонного покрытия проездов, проходов, практически не производятся работы по озеленению дворовых территорий,  отсутствие парковок для временного хранения автомобилей, недостаточно оборудованных детских и спортивных площадок. 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ab/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Важнейшей задачей администрации сельского 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ab/>
      </w:r>
      <w:r w:rsidRPr="00000E75">
        <w:rPr>
          <w:rFonts w:ascii="Times New Roman" w:eastAsia="Calibri" w:hAnsi="Times New Roman" w:cs="Times New Roman"/>
          <w:sz w:val="28"/>
          <w:szCs w:val="28"/>
        </w:rPr>
        <w:t xml:space="preserve">Для решения проблем по благоустройству дворовых территорий и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общественных территорий </w:t>
      </w:r>
      <w:r w:rsidRPr="00000E75">
        <w:rPr>
          <w:rFonts w:ascii="Times New Roman" w:eastAsia="Calibri" w:hAnsi="Times New Roman" w:cs="Times New Roman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000E75" w:rsidRPr="00000E75" w:rsidRDefault="00000E75" w:rsidP="00B973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ремонт дворовых проездов;</w:t>
      </w:r>
    </w:p>
    <w:p w:rsidR="00000E75" w:rsidRPr="00000E75" w:rsidRDefault="00000E75" w:rsidP="00B973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обеспечение освещения дворовых территорий;</w:t>
      </w:r>
    </w:p>
    <w:p w:rsidR="00000E75" w:rsidRPr="00000E75" w:rsidRDefault="00000E75" w:rsidP="00B973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установка скамеек, урн.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000E75" w:rsidRPr="00000E75" w:rsidRDefault="00000E75" w:rsidP="00AA1BB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оборудование детских площадок;</w:t>
      </w:r>
    </w:p>
    <w:p w:rsidR="00000E75" w:rsidRPr="00000E75" w:rsidRDefault="00000E75" w:rsidP="00AA1BB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оборудование спортивных площадок;</w:t>
      </w:r>
    </w:p>
    <w:p w:rsidR="00000E75" w:rsidRPr="00000E75" w:rsidRDefault="00000E75" w:rsidP="00AA1BB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оборудование автомобильных парковок;</w:t>
      </w:r>
    </w:p>
    <w:p w:rsidR="00000E75" w:rsidRPr="00000E75" w:rsidRDefault="00000E75" w:rsidP="00AA1BB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обустройство контейнерных площадок для сбора твердых коммунальных отходов;</w:t>
      </w:r>
    </w:p>
    <w:p w:rsidR="00000E75" w:rsidRPr="00000E75" w:rsidRDefault="00000E75" w:rsidP="00B973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00E75">
        <w:rPr>
          <w:rFonts w:ascii="Times New Roman" w:eastAsia="Calibri" w:hAnsi="Times New Roman" w:cs="Times New Roman"/>
          <w:sz w:val="28"/>
          <w:szCs w:val="28"/>
        </w:rPr>
        <w:t>кронирование</w:t>
      </w:r>
      <w:proofErr w:type="spellEnd"/>
      <w:r w:rsidRPr="00000E75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000E75" w:rsidRPr="00000E75" w:rsidRDefault="00000E75" w:rsidP="00B973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озеленение территории.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  <w:t xml:space="preserve">Визуализированный перечень образцов элементов благоустройства, предлагаемых к размещению на дворовой территории, единичные расценки </w:t>
      </w:r>
      <w:r w:rsidRPr="00000E75">
        <w:rPr>
          <w:rFonts w:ascii="Times New Roman" w:eastAsia="Calibri" w:hAnsi="Times New Roman" w:cs="Times New Roman"/>
          <w:sz w:val="28"/>
          <w:szCs w:val="28"/>
        </w:rPr>
        <w:lastRenderedPageBreak/>
        <w:t>стоимости работ по благоустройству дворовых территорий приведены в таблицах 1-4.</w:t>
      </w:r>
    </w:p>
    <w:p w:rsidR="00000E75" w:rsidRPr="00000E75" w:rsidRDefault="00000E75" w:rsidP="00000E7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ab/>
      </w:r>
      <w:r w:rsidRPr="00000E75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000E75" w:rsidRPr="00000E75" w:rsidRDefault="00000E75" w:rsidP="00000E75">
      <w:pPr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00E7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II</w:t>
      </w:r>
      <w:r w:rsidRPr="00000E7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Приоритеты политики благоустройства, описание целей и задач муниципальной программы</w:t>
      </w:r>
    </w:p>
    <w:p w:rsidR="00000E75" w:rsidRPr="00000E75" w:rsidRDefault="00000E75" w:rsidP="00000E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75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Похвистневского района, приоритетами политики 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 xml:space="preserve"> в области благоустройства является комплексное развитие современной городской инфраструктуры на основе единых подходов.</w:t>
      </w:r>
    </w:p>
    <w:p w:rsidR="00000E75" w:rsidRPr="00000E75" w:rsidRDefault="00000E75" w:rsidP="00000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повышение уровня благоустройства территории </w:t>
      </w:r>
      <w:r w:rsidRPr="00000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>.</w:t>
      </w:r>
    </w:p>
    <w:p w:rsidR="00000E75" w:rsidRPr="00000E75" w:rsidRDefault="00000E75" w:rsidP="00000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000E75" w:rsidRPr="00000E75" w:rsidRDefault="00000E75" w:rsidP="00000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</w:t>
      </w:r>
      <w:proofErr w:type="gramStart"/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уровня благоустройства дворовых территорий многоквартирных домов </w:t>
      </w:r>
      <w:r w:rsidRPr="00000E7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000E75">
        <w:rPr>
          <w:rFonts w:ascii="Times New Roman" w:hAnsi="Times New Roman" w:cs="Times New Roman"/>
          <w:sz w:val="28"/>
          <w:szCs w:val="28"/>
        </w:rPr>
        <w:t xml:space="preserve"> </w:t>
      </w:r>
      <w:r w:rsidR="00AA1BBA">
        <w:rPr>
          <w:rFonts w:ascii="Times New Roman" w:hAnsi="Times New Roman" w:cs="Times New Roman"/>
          <w:sz w:val="28"/>
          <w:szCs w:val="28"/>
        </w:rPr>
        <w:t>Старый Аманак</w:t>
      </w:r>
      <w:r w:rsidRPr="00000E75">
        <w:rPr>
          <w:rFonts w:ascii="Times New Roman" w:hAnsi="Times New Roman" w:cs="Times New Roman"/>
          <w:sz w:val="28"/>
          <w:szCs w:val="28"/>
        </w:rPr>
        <w:t>;</w:t>
      </w:r>
    </w:p>
    <w:p w:rsidR="00000E75" w:rsidRPr="00000E75" w:rsidRDefault="00000E75" w:rsidP="00000E75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уровня благоустройства общественных территорий </w:t>
      </w:r>
      <w:r w:rsidRPr="00000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>.</w:t>
      </w:r>
    </w:p>
    <w:p w:rsidR="00000E75" w:rsidRPr="00000E75" w:rsidRDefault="00000E75" w:rsidP="00000E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000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>.</w:t>
      </w:r>
    </w:p>
    <w:p w:rsidR="00B973AD" w:rsidRDefault="00B973AD" w:rsidP="00000E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E75" w:rsidRPr="00000E75" w:rsidRDefault="00000E75" w:rsidP="00000E75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00E7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000E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Прогноз конечных результатов муниципальной программы</w:t>
      </w:r>
    </w:p>
    <w:p w:rsidR="00000E75" w:rsidRPr="00000E75" w:rsidRDefault="00000E75" w:rsidP="00000E75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>По результатам реализации муниципальной программы ожидается достижение следующих результатов:</w:t>
      </w:r>
    </w:p>
    <w:p w:rsidR="00000E75" w:rsidRPr="00000E75" w:rsidRDefault="00000E75" w:rsidP="00000E75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00E75">
        <w:rPr>
          <w:rFonts w:ascii="Times New Roman" w:eastAsia="Calibri" w:hAnsi="Times New Roman" w:cs="Times New Roman"/>
          <w:sz w:val="28"/>
          <w:szCs w:val="28"/>
        </w:rPr>
        <w:t xml:space="preserve">1. количество благоустроенных дворовых территорий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Pr="00000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</w:t>
      </w:r>
      <w:r w:rsidR="00B973AD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000E75" w:rsidRPr="00000E75" w:rsidRDefault="00000E75" w:rsidP="00000E75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E75">
        <w:rPr>
          <w:rFonts w:ascii="Times New Roman" w:hAnsi="Times New Roman" w:cs="Times New Roman"/>
          <w:sz w:val="28"/>
          <w:szCs w:val="28"/>
        </w:rPr>
        <w:lastRenderedPageBreak/>
        <w:t>2. к</w:t>
      </w:r>
      <w:r w:rsidRPr="00000E75">
        <w:rPr>
          <w:rFonts w:ascii="Times New Roman" w:eastAsia="Calibri" w:hAnsi="Times New Roman" w:cs="Times New Roman"/>
          <w:sz w:val="28"/>
          <w:szCs w:val="28"/>
        </w:rPr>
        <w:t xml:space="preserve">оличество благоустроенных </w:t>
      </w:r>
      <w:r w:rsidRPr="00000E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благоустройства общественных территорий </w:t>
      </w:r>
      <w:r w:rsidRPr="00000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  <w:r w:rsidRPr="00000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179" w:rsidRPr="00794179" w:rsidRDefault="00794179" w:rsidP="00794179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941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794179">
        <w:rPr>
          <w:rFonts w:ascii="Times New Roman" w:eastAsia="Calibri" w:hAnsi="Times New Roman" w:cs="Times New Roman"/>
          <w:sz w:val="28"/>
          <w:szCs w:val="28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794179">
        <w:rPr>
          <w:rFonts w:ascii="Times New Roman" w:hAnsi="Times New Roman" w:cs="Times New Roman"/>
          <w:sz w:val="28"/>
          <w:szCs w:val="28"/>
          <w:lang w:eastAsia="x-none"/>
        </w:rPr>
        <w:t>реализации мероприятий муниципальной программы.</w:t>
      </w:r>
    </w:p>
    <w:p w:rsidR="00794179" w:rsidRPr="00794179" w:rsidRDefault="00794179" w:rsidP="0079417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1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94179">
        <w:rPr>
          <w:rFonts w:ascii="Times New Roman" w:eastAsia="Calibri" w:hAnsi="Times New Roman" w:cs="Times New Roman"/>
          <w:b/>
          <w:sz w:val="28"/>
          <w:szCs w:val="28"/>
        </w:rPr>
        <w:t xml:space="preserve">. Этапы и сроки реализации муниципальной программы </w:t>
      </w:r>
    </w:p>
    <w:p w:rsidR="00794179" w:rsidRPr="00794179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Программа рассчитана на 2017 год и не предполагает разбивку на этапы.</w:t>
      </w:r>
    </w:p>
    <w:p w:rsidR="00794179" w:rsidRPr="00794179" w:rsidRDefault="00794179" w:rsidP="0079417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1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94179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мероприятий муниципальной программы </w:t>
      </w:r>
    </w:p>
    <w:p w:rsidR="00794179" w:rsidRPr="00794179" w:rsidRDefault="00794179" w:rsidP="00794179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94179">
        <w:rPr>
          <w:rFonts w:ascii="Times New Roman" w:hAnsi="Times New Roman" w:cs="Times New Roman"/>
          <w:sz w:val="28"/>
          <w:szCs w:val="28"/>
          <w:lang w:eastAsia="x-none"/>
        </w:rPr>
        <w:t>Перечень мероприятий муниципальной программы указан в приложении 1 к муниципальной программе.</w:t>
      </w:r>
    </w:p>
    <w:p w:rsidR="00794179" w:rsidRPr="00794179" w:rsidRDefault="00794179" w:rsidP="00794179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1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794179">
        <w:rPr>
          <w:rFonts w:ascii="Times New Roman" w:eastAsia="Calibri" w:hAnsi="Times New Roman" w:cs="Times New Roman"/>
          <w:b/>
          <w:sz w:val="28"/>
          <w:szCs w:val="28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794179" w:rsidRPr="00794179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указан в приложении 2 к программе.</w:t>
      </w:r>
    </w:p>
    <w:p w:rsidR="00794179" w:rsidRPr="00794179" w:rsidRDefault="00794179" w:rsidP="00794179">
      <w:pPr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1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794179">
        <w:rPr>
          <w:rFonts w:ascii="Times New Roman" w:eastAsia="Calibri" w:hAnsi="Times New Roman" w:cs="Times New Roman"/>
          <w:b/>
          <w:sz w:val="28"/>
          <w:szCs w:val="28"/>
        </w:rPr>
        <w:t xml:space="preserve">. Информация по ресурсному обеспечению </w:t>
      </w:r>
    </w:p>
    <w:p w:rsidR="00794179" w:rsidRPr="00794179" w:rsidRDefault="00794179" w:rsidP="00794179">
      <w:pPr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17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794179" w:rsidRPr="00794179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Расходы на реализацию мероприятий муниципальной программы в 2017 году составят </w:t>
      </w:r>
      <w:r w:rsidRPr="00794179">
        <w:rPr>
          <w:rFonts w:ascii="Times New Roman" w:eastAsia="Calibri" w:hAnsi="Times New Roman" w:cs="Times New Roman"/>
          <w:sz w:val="28"/>
          <w:szCs w:val="28"/>
        </w:rPr>
        <w:t>________</w:t>
      </w:r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тыс</w:t>
      </w:r>
      <w:proofErr w:type="gramStart"/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.р</w:t>
      </w:r>
      <w:proofErr w:type="gramEnd"/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уб</w:t>
      </w:r>
      <w:proofErr w:type="spellEnd"/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94179" w:rsidRPr="00794179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94179">
        <w:rPr>
          <w:rFonts w:ascii="Times New Roman" w:eastAsia="Arial Unicode MS" w:hAnsi="Times New Roman" w:cs="Times New Roman"/>
          <w:color w:val="000000"/>
          <w:sz w:val="28"/>
          <w:szCs w:val="28"/>
        </w:rPr>
        <w:t>Ресурсное обеспечение муниципальной программы по источникам финансирования представлено в приложениях 3-6 к программе.</w:t>
      </w: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1BBA" w:rsidRDefault="00AA1BBA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1324" w:rsidRDefault="00971324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1324" w:rsidRDefault="00971324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1324" w:rsidRDefault="00971324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1324" w:rsidRDefault="00971324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1324" w:rsidRDefault="00971324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1324" w:rsidRDefault="00971324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342D" w:rsidRPr="00C6342D" w:rsidRDefault="00C6342D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6342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Минимальный перечень работ</w:t>
      </w:r>
    </w:p>
    <w:p w:rsidR="00C6342D" w:rsidRPr="00C6342D" w:rsidRDefault="00C6342D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6342D">
        <w:rPr>
          <w:rFonts w:ascii="Times New Roman" w:hAnsi="Times New Roman" w:cs="Times New Roman"/>
          <w:sz w:val="28"/>
          <w:szCs w:val="28"/>
          <w:lang w:eastAsia="ar-SA"/>
        </w:rPr>
        <w:t>по благоустройству дворовых территорий</w:t>
      </w:r>
    </w:p>
    <w:p w:rsidR="00C6342D" w:rsidRPr="00C6342D" w:rsidRDefault="00C6342D" w:rsidP="00AA1BBA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6342D">
        <w:rPr>
          <w:rFonts w:ascii="Times New Roman" w:hAnsi="Times New Roman" w:cs="Times New Roman"/>
          <w:sz w:val="28"/>
          <w:szCs w:val="28"/>
          <w:lang w:eastAsia="ar-SA"/>
        </w:rPr>
        <w:t>многоквартирных домов</w:t>
      </w:r>
    </w:p>
    <w:p w:rsidR="00C6342D" w:rsidRPr="00C6342D" w:rsidRDefault="00C6342D" w:rsidP="00C6342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5407"/>
      </w:tblGrid>
      <w:tr w:rsidR="00C6342D" w:rsidRPr="00C6342D" w:rsidTr="00971324">
        <w:trPr>
          <w:trHeight w:val="8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Виды работ</w:t>
            </w:r>
          </w:p>
        </w:tc>
      </w:tr>
      <w:tr w:rsidR="00C6342D" w:rsidRPr="00C6342D" w:rsidTr="00971324">
        <w:trPr>
          <w:trHeight w:val="8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 w:rsidP="00B973A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Ремонт дворовых проездов</w:t>
            </w:r>
          </w:p>
        </w:tc>
      </w:tr>
      <w:tr w:rsidR="00C6342D" w:rsidRPr="00C6342D" w:rsidTr="00971324">
        <w:trPr>
          <w:trHeight w:val="8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 w:rsidP="00B973A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Обеспечение освещения дворовых территорий</w:t>
            </w:r>
          </w:p>
        </w:tc>
      </w:tr>
      <w:tr w:rsidR="00C6342D" w:rsidRPr="00C6342D" w:rsidTr="00971324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D" w:rsidRPr="00C6342D" w:rsidRDefault="00C6342D" w:rsidP="00B973A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6342D" w:rsidRPr="00C6342D" w:rsidRDefault="00C6342D" w:rsidP="00B973A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Установка скамеек</w:t>
            </w:r>
          </w:p>
          <w:p w:rsidR="00C6342D" w:rsidRPr="00C6342D" w:rsidRDefault="00C6342D" w:rsidP="00B973A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6342D" w:rsidRPr="00C6342D" w:rsidTr="00971324">
        <w:trPr>
          <w:trHeight w:val="288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814BE" wp14:editId="38808E06">
                  <wp:extent cx="2066925" cy="2066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C6342D" w:rsidRPr="00C6342D" w:rsidRDefault="00C6342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4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3139"/>
            </w:tblGrid>
            <w:tr w:rsidR="00C6342D" w:rsidRPr="00C6342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342D" w:rsidRPr="00C6342D" w:rsidRDefault="00C6342D">
                  <w:pPr>
                    <w:widowControl w:val="0"/>
                    <w:suppressAutoHyphens/>
                    <w:autoSpaceDE w:val="0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Длина скамейки - 1,5 м;</w:t>
                  </w:r>
                </w:p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Ширина – 380 мм;</w:t>
                  </w:r>
                </w:p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Высота - 680 мм.</w:t>
                  </w:r>
                </w:p>
              </w:tc>
            </w:tr>
          </w:tbl>
          <w:p w:rsidR="00C6342D" w:rsidRPr="00C6342D" w:rsidRDefault="00C634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6342D" w:rsidRPr="00C6342D" w:rsidTr="00971324">
        <w:trPr>
          <w:trHeight w:val="254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2D53F" wp14:editId="309BDBFB">
                  <wp:extent cx="2124075" cy="2124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D" w:rsidRPr="00C6342D" w:rsidRDefault="00C6342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Скамья без спинки</w:t>
            </w:r>
          </w:p>
          <w:p w:rsidR="00C6342D" w:rsidRPr="00C6342D" w:rsidRDefault="00C6342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3000"/>
            </w:tblGrid>
            <w:tr w:rsidR="00C6342D" w:rsidRPr="00C6342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342D" w:rsidRPr="00C6342D" w:rsidRDefault="00C6342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Длина скамейки - 2,0 м;</w:t>
                  </w:r>
                </w:p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- 385 мм;</w:t>
                  </w:r>
                </w:p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- 660  мм.</w:t>
                  </w:r>
                </w:p>
              </w:tc>
            </w:tr>
            <w:tr w:rsidR="00C6342D" w:rsidRPr="00C6342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342D" w:rsidRPr="00C6342D" w:rsidRDefault="00C6342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C6342D" w:rsidRPr="00C6342D" w:rsidRDefault="00C6342D">
                  <w:pPr>
                    <w:widowControl w:val="0"/>
                    <w:suppressAutoHyphens/>
                    <w:autoSpaceDE w:val="0"/>
                    <w:spacing w:after="15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6342D" w:rsidRPr="00C6342D" w:rsidRDefault="00C634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6342D" w:rsidRPr="00C6342D" w:rsidTr="00971324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D" w:rsidRPr="00C6342D" w:rsidRDefault="00C634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   </w:t>
            </w:r>
            <w:r w:rsidRPr="00C634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E6BC90" wp14:editId="4EDCA625">
                  <wp:extent cx="1905000" cy="190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D" w:rsidRPr="00C6342D" w:rsidRDefault="00C6342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63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Скамья со спинкой </w:t>
            </w:r>
          </w:p>
          <w:p w:rsidR="00C6342D" w:rsidRPr="00C6342D" w:rsidRDefault="00C6342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00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974"/>
            </w:tblGrid>
            <w:tr w:rsidR="00C6342D" w:rsidRPr="00C6342D" w:rsidTr="00971324">
              <w:trPr>
                <w:trHeight w:val="1036"/>
              </w:trPr>
              <w:tc>
                <w:tcPr>
                  <w:tcW w:w="21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342D" w:rsidRPr="00C6342D" w:rsidRDefault="00C6342D" w:rsidP="00971324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</w:t>
                  </w:r>
                  <w:r w:rsidR="0097132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342D" w:rsidRPr="00C6342D" w:rsidRDefault="00C6342D" w:rsidP="00971324">
                  <w:pPr>
                    <w:widowControl w:val="0"/>
                    <w:suppressAutoHyphens/>
                    <w:autoSpaceDE w:val="0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Длина скамейки</w:t>
                  </w:r>
                  <w:r w:rsidR="009713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- 2,085м;</w:t>
                  </w: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Ширина - 770  мм;</w:t>
                  </w:r>
                  <w:r w:rsidRPr="00C6342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Высота - 975  мм.</w:t>
                  </w:r>
                </w:p>
              </w:tc>
            </w:tr>
          </w:tbl>
          <w:p w:rsidR="00C6342D" w:rsidRPr="00C6342D" w:rsidRDefault="00C6342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94179" w:rsidRPr="00C6342D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4988"/>
      </w:tblGrid>
      <w:tr w:rsidR="0055318E" w:rsidRPr="0055318E" w:rsidTr="00B973AD">
        <w:trPr>
          <w:trHeight w:val="952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 w:rsidP="0055318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Установка урн</w:t>
            </w:r>
          </w:p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5318E" w:rsidRPr="0055318E" w:rsidTr="00B973AD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A3DDE" wp14:editId="1E841F54">
                  <wp:extent cx="1533525" cy="1533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E" w:rsidRPr="0055318E" w:rsidRDefault="0055318E" w:rsidP="0055318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Урна металлическая </w:t>
            </w:r>
          </w:p>
          <w:p w:rsidR="0055318E" w:rsidRPr="0055318E" w:rsidRDefault="0055318E" w:rsidP="0055318E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«Деревянный декор»</w:t>
            </w:r>
          </w:p>
          <w:p w:rsidR="0055318E" w:rsidRPr="0055318E" w:rsidRDefault="0055318E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103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977"/>
            </w:tblGrid>
            <w:tr w:rsidR="0055318E" w:rsidRPr="0055318E" w:rsidTr="00971324">
              <w:tc>
                <w:tcPr>
                  <w:tcW w:w="21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5318E" w:rsidRPr="0055318E" w:rsidRDefault="0055318E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318E" w:rsidRPr="0055318E" w:rsidRDefault="0055318E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- 665мм;</w:t>
                  </w:r>
                </w:p>
                <w:p w:rsidR="0055318E" w:rsidRPr="0055318E" w:rsidRDefault="0055318E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- 420 мм;</w:t>
                  </w:r>
                </w:p>
                <w:p w:rsidR="0055318E" w:rsidRPr="0055318E" w:rsidRDefault="0055318E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Объем: 10 л</w:t>
                  </w:r>
                </w:p>
              </w:tc>
            </w:tr>
          </w:tbl>
          <w:p w:rsidR="0055318E" w:rsidRPr="0055318E" w:rsidRDefault="0055318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5318E" w:rsidRPr="0055318E" w:rsidTr="00B973AD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90563" wp14:editId="6D10A67E">
                  <wp:extent cx="1600200" cy="1600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E" w:rsidRPr="0055318E" w:rsidRDefault="0055318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Урна для мусора </w:t>
            </w:r>
          </w:p>
          <w:tbl>
            <w:tblPr>
              <w:tblW w:w="4819" w:type="dxa"/>
              <w:tblInd w:w="33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693"/>
            </w:tblGrid>
            <w:tr w:rsidR="0055318E" w:rsidRPr="0055318E" w:rsidTr="00971324">
              <w:tc>
                <w:tcPr>
                  <w:tcW w:w="21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5318E" w:rsidRPr="0055318E" w:rsidRDefault="0055318E" w:rsidP="00971324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318E" w:rsidRPr="0055318E" w:rsidRDefault="0055318E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- 540 м</w:t>
                  </w:r>
                </w:p>
                <w:p w:rsidR="0055318E" w:rsidRPr="0055318E" w:rsidRDefault="0055318E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– 400 мм</w:t>
                  </w:r>
                </w:p>
                <w:p w:rsidR="0055318E" w:rsidRPr="0055318E" w:rsidRDefault="0055318E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31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Объем: 20 л</w:t>
                  </w:r>
                </w:p>
              </w:tc>
            </w:tr>
          </w:tbl>
          <w:p w:rsidR="0055318E" w:rsidRPr="0055318E" w:rsidRDefault="0055318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5318E" w:rsidRPr="0055318E" w:rsidTr="00B973AD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531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E5CB6C" wp14:editId="7EB9B0D8">
                  <wp:extent cx="1600200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8E" w:rsidRPr="0055318E" w:rsidRDefault="0055318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5318E" w:rsidRPr="0055318E" w:rsidRDefault="0055318E" w:rsidP="00B973AD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55318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55318E" w:rsidRPr="0055318E" w:rsidRDefault="0055318E" w:rsidP="00B973AD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5318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5318E" w:rsidRPr="0055318E" w:rsidRDefault="0055318E" w:rsidP="00B973A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6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</w:p>
    <w:p w:rsidR="0055318E" w:rsidRPr="0055318E" w:rsidRDefault="0055318E" w:rsidP="00B973A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</w:p>
    <w:p w:rsidR="00B973AD" w:rsidRDefault="00D63BF7" w:rsidP="00B973A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55318E" w:rsidRPr="0055318E">
        <w:rPr>
          <w:rFonts w:ascii="Times New Roman" w:hAnsi="Times New Roman" w:cs="Times New Roman"/>
          <w:sz w:val="28"/>
          <w:szCs w:val="28"/>
        </w:rPr>
        <w:t xml:space="preserve"> на </w:t>
      </w:r>
      <w:r w:rsidR="00B973A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B973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5318E" w:rsidRPr="0055318E" w:rsidRDefault="002251F4" w:rsidP="00B973A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973AD">
        <w:rPr>
          <w:rFonts w:ascii="Times New Roman" w:hAnsi="Times New Roman" w:cs="Times New Roman"/>
          <w:sz w:val="28"/>
          <w:szCs w:val="28"/>
        </w:rPr>
        <w:t xml:space="preserve"> </w:t>
      </w:r>
      <w:r w:rsidR="0055318E" w:rsidRPr="0055318E">
        <w:rPr>
          <w:rFonts w:ascii="Times New Roman" w:hAnsi="Times New Roman" w:cs="Times New Roman"/>
          <w:sz w:val="28"/>
          <w:szCs w:val="28"/>
        </w:rPr>
        <w:t>2017 год</w:t>
      </w:r>
      <w:r w:rsidR="00D63BF7">
        <w:rPr>
          <w:rFonts w:ascii="Times New Roman" w:hAnsi="Times New Roman" w:cs="Times New Roman"/>
          <w:sz w:val="28"/>
          <w:szCs w:val="28"/>
        </w:rPr>
        <w:t>»</w:t>
      </w:r>
    </w:p>
    <w:p w:rsidR="0055318E" w:rsidRPr="0055318E" w:rsidRDefault="0055318E" w:rsidP="0055318E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318E" w:rsidRPr="0055318E" w:rsidRDefault="0055318E" w:rsidP="0055318E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5318E">
        <w:rPr>
          <w:rFonts w:ascii="Times New Roman" w:hAnsi="Times New Roman" w:cs="Times New Roman"/>
          <w:sz w:val="28"/>
          <w:szCs w:val="28"/>
          <w:lang w:eastAsia="ar-SA"/>
        </w:rPr>
        <w:t>Дополнительный перечень работ</w:t>
      </w:r>
    </w:p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5318E">
        <w:rPr>
          <w:rFonts w:ascii="Times New Roman" w:hAnsi="Times New Roman" w:cs="Times New Roman"/>
          <w:sz w:val="28"/>
          <w:szCs w:val="28"/>
          <w:lang w:eastAsia="ar-SA"/>
        </w:rPr>
        <w:t>по благоустройству дворовых территорий</w:t>
      </w:r>
    </w:p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5318E">
        <w:rPr>
          <w:rFonts w:ascii="Times New Roman" w:hAnsi="Times New Roman" w:cs="Times New Roman"/>
          <w:sz w:val="28"/>
          <w:szCs w:val="28"/>
          <w:lang w:eastAsia="ar-SA"/>
        </w:rPr>
        <w:t>многоквартирных домов</w:t>
      </w:r>
    </w:p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Оборудование детских и (или) спортивных площадок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Оборудование автомобильных парковок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Устройство пандуса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Устройство контейнерной площадки</w:t>
            </w:r>
          </w:p>
        </w:tc>
      </w:tr>
      <w:tr w:rsidR="0055318E" w:rsidRPr="0055318E" w:rsidTr="005531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55318E" w:rsidRDefault="0055318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Расчистка прилегающей территории</w:t>
            </w:r>
          </w:p>
        </w:tc>
      </w:tr>
    </w:tbl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318E" w:rsidRPr="0055318E" w:rsidRDefault="0055318E" w:rsidP="0055318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73AD" w:rsidRDefault="00B973AD" w:rsidP="0055318E">
      <w:pPr>
        <w:suppressAutoHyphens/>
        <w:spacing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55318E" w:rsidRDefault="0055318E" w:rsidP="0055318E">
      <w:pPr>
        <w:suppressAutoHyphens/>
        <w:spacing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VIII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>. Доля финансового участия заинтересованных лиц и виды трудового участия заинтересованных лиц в выполнении дополнительного перечня работ по благоустройству дворовых территорий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дополнительного перечня работ по благоустройству в форме трудового и (или) финансового участия.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</w:t>
      </w:r>
      <w:r w:rsidRPr="0055318E">
        <w:rPr>
          <w:rFonts w:ascii="Times New Roman" w:eastAsia="Calibri" w:hAnsi="Times New Roman" w:cs="Times New Roman"/>
          <w:sz w:val="28"/>
          <w:szCs w:val="28"/>
        </w:rPr>
        <w:t>дополнительного перечня работ по благоустройству дворовых территорий</w:t>
      </w:r>
      <w:r w:rsidRPr="0055318E">
        <w:rPr>
          <w:rFonts w:ascii="Times New Roman" w:hAnsi="Times New Roman" w:cs="Times New Roman"/>
          <w:sz w:val="28"/>
          <w:szCs w:val="28"/>
        </w:rPr>
        <w:t xml:space="preserve"> устанавливается в размере не менее 1 % от общей стоимости мероприятий по благоустройству дворовой территории.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 в реализации мероприятий муниципальной программы по благоустройству дворовых территорий, включенных в муниципальную программу на текущий год, должно подтверждаться документально.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 администрации сельского поселения, копия ведомости сбора сре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>аинтересованных лиц, которые впоследствии также вносятся на счет администрации сельского поселения.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Виды трудового участия: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5318E">
        <w:rPr>
          <w:rFonts w:ascii="Times New Roman" w:hAnsi="Times New Roman" w:cs="Times New Roman"/>
          <w:b/>
          <w:sz w:val="28"/>
          <w:szCs w:val="28"/>
        </w:rPr>
        <w:t>.</w:t>
      </w:r>
      <w:r w:rsidRPr="0055318E">
        <w:rPr>
          <w:rFonts w:ascii="Times New Roman" w:hAnsi="Times New Roman" w:cs="Times New Roman"/>
          <w:sz w:val="28"/>
          <w:szCs w:val="28"/>
        </w:rPr>
        <w:t xml:space="preserve"> А</w:t>
      </w:r>
      <w:r w:rsidRPr="0055318E">
        <w:rPr>
          <w:rFonts w:ascii="Times New Roman" w:hAnsi="Times New Roman" w:cs="Times New Roman"/>
          <w:b/>
          <w:sz w:val="28"/>
          <w:szCs w:val="28"/>
        </w:rPr>
        <w:t xml:space="preserve">ккумулирование и расходование средств заинтересованных лиц, направляемых на выполнение 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>дополнительного перечня работ по благоустройству дворовых территорий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Выполнение видов работ из дополнительного перечня работ по благоустройству дворовых территорий осуществляется при условии финансового участия заинтересованных лиц.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 если заинтересованными лицами принято решение об их финансовом участии в выполнении </w:t>
      </w:r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перечня работ по благоустройству дворовых территорий, денежные средства заинтересованных лиц перечисляются на лицевой счет, открытый администрации </w:t>
      </w:r>
      <w:r w:rsidRPr="00553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5531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Управлении _______________по </w:t>
      </w:r>
      <w:proofErr w:type="spellStart"/>
      <w:r w:rsidRPr="0055318E">
        <w:rPr>
          <w:rFonts w:ascii="Times New Roman" w:eastAsia="Calibri" w:hAnsi="Times New Roman" w:cs="Times New Roman"/>
          <w:color w:val="FF0000"/>
          <w:sz w:val="28"/>
          <w:szCs w:val="28"/>
        </w:rPr>
        <w:t>Похвистневскому</w:t>
      </w:r>
      <w:proofErr w:type="spellEnd"/>
      <w:r w:rsidRPr="005531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району</w:t>
      </w:r>
      <w:r w:rsidRPr="005531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Объем денежных средств заинтересованных лиц определяется сметным расчетом по благоустройству дворовой территории и должен быть указан в протоколе общего собрания.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lastRenderedPageBreak/>
        <w:t>Перечисление денежных средств заинтересованными лицами осуществляется до начала работ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Администрация сельского поселения обеспечивает учет поступающих от заинтересованных лиц денежных сре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азрезе многоквартирных домов, дворовые территории которых подлежат благоустройству.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обеспечивает ежемесячное опубликование в газете «Вестник сельского поселения </w:t>
      </w:r>
      <w:r w:rsidR="00971324">
        <w:rPr>
          <w:rFonts w:ascii="Times New Roman" w:hAnsi="Times New Roman" w:cs="Times New Roman"/>
          <w:sz w:val="28"/>
          <w:szCs w:val="28"/>
        </w:rPr>
        <w:t>Старый Аманак</w:t>
      </w:r>
      <w:r w:rsidRPr="0055318E">
        <w:rPr>
          <w:rFonts w:ascii="Times New Roman" w:hAnsi="Times New Roman" w:cs="Times New Roman"/>
          <w:sz w:val="28"/>
          <w:szCs w:val="28"/>
        </w:rPr>
        <w:t>», также на официальном сайте Администрации    сельского поселения Малый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олкай                               в сети «Интернет» по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а также ежемесячное направление данных о поступивших от заинтересованных лиц денежных средствах в разрезе многоквартирных домов, дворовые 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 которых подлежат благоустройству, в общественную комиссию.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 проектов, указанного в протоколе общего собрания собственников многоквартирного дома.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Администрация сельского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 - экономии денежных средств, по итогам проведения конкурсных процедур;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 - неисполнения работ по благоустройству дворовой территории многоквартирного дома по вине подрядной организации;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lastRenderedPageBreak/>
        <w:t>- не предоставления заинтересованными лицами доступа к проведению благоустройства на дворовой территории;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 - возникновения обстоятельств непреодолимой силы;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>. П</w:t>
      </w:r>
      <w:r w:rsidRPr="0055318E">
        <w:rPr>
          <w:rFonts w:ascii="Times New Roman" w:hAnsi="Times New Roman" w:cs="Times New Roman"/>
          <w:b/>
          <w:sz w:val="28"/>
          <w:szCs w:val="28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По каждой дворовой территории, включенной в муниципальную подпрограмму, администрацией сельского посе</w:t>
      </w:r>
      <w:r w:rsidR="002251F4">
        <w:rPr>
          <w:rFonts w:ascii="Times New Roman" w:hAnsi="Times New Roman" w:cs="Times New Roman"/>
          <w:sz w:val="28"/>
          <w:szCs w:val="28"/>
        </w:rPr>
        <w:t>ления совместно с отделом ЖКХ   А</w:t>
      </w:r>
      <w:r w:rsidRPr="005531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51F4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2251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251F4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  <w:r w:rsidR="002251F4">
        <w:rPr>
          <w:rFonts w:ascii="Times New Roman" w:hAnsi="Times New Roman" w:cs="Times New Roman"/>
          <w:sz w:val="28"/>
          <w:szCs w:val="28"/>
        </w:rPr>
        <w:t xml:space="preserve"> в срок до 15.07.08</w:t>
      </w:r>
      <w:r w:rsidRPr="0055318E">
        <w:rPr>
          <w:rFonts w:ascii="Times New Roman" w:hAnsi="Times New Roman" w:cs="Times New Roman"/>
          <w:sz w:val="28"/>
          <w:szCs w:val="28"/>
        </w:rPr>
        <w:t xml:space="preserve"> 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>Представитель (представители) заинтересованных лиц, указанны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5318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5318E">
        <w:rPr>
          <w:rFonts w:ascii="Times New Roman" w:hAnsi="Times New Roman" w:cs="Times New Roman"/>
          <w:sz w:val="28"/>
          <w:szCs w:val="28"/>
        </w:rPr>
        <w:t xml:space="preserve">) в протоколе общего собрания собственников помещений в многоквартирном доме, рассматривают и согласовывают  в течение </w:t>
      </w:r>
      <w:r w:rsidRPr="002251F4">
        <w:rPr>
          <w:rFonts w:ascii="Times New Roman" w:hAnsi="Times New Roman" w:cs="Times New Roman"/>
          <w:sz w:val="28"/>
          <w:szCs w:val="28"/>
        </w:rPr>
        <w:t>7 дней.</w:t>
      </w:r>
    </w:p>
    <w:p w:rsidR="0055318E" w:rsidRPr="002251F4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18E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55318E">
        <w:rPr>
          <w:rFonts w:ascii="Times New Roman" w:hAnsi="Times New Roman" w:cs="Times New Roman"/>
          <w:sz w:val="28"/>
          <w:szCs w:val="28"/>
        </w:rPr>
        <w:t xml:space="preserve"> по каждой дворовой территории, включенной в муниципальную подпрограмму, утверждаются постановлением администрации сельского поселения в срок </w:t>
      </w:r>
      <w:r w:rsidR="002251F4">
        <w:rPr>
          <w:rFonts w:ascii="Times New Roman" w:hAnsi="Times New Roman" w:cs="Times New Roman"/>
          <w:sz w:val="28"/>
          <w:szCs w:val="28"/>
        </w:rPr>
        <w:t>до 01.08</w:t>
      </w:r>
      <w:r w:rsidRPr="002251F4">
        <w:rPr>
          <w:rFonts w:ascii="Times New Roman" w:hAnsi="Times New Roman" w:cs="Times New Roman"/>
          <w:sz w:val="28"/>
          <w:szCs w:val="28"/>
        </w:rPr>
        <w:t>.2017.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18E" w:rsidRPr="0055318E" w:rsidRDefault="0055318E" w:rsidP="0055318E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55318E" w:rsidRPr="0055318E" w:rsidRDefault="0055318E" w:rsidP="0055318E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К таким рискам можно отнести: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недостаточное финансирование программных мероприятий;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законодательные риски.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Соисполнители муниципальной программы осуществляют систематический </w:t>
      </w:r>
      <w:proofErr w:type="gram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55318E" w:rsidRPr="0055318E" w:rsidRDefault="0055318E" w:rsidP="0055318E">
      <w:pPr>
        <w:suppressAutoHyphens/>
        <w:spacing w:line="32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>. Методика оценки эффективности муниципальной программы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муниципальной программы оценивается по окончании текущего финансового года.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степени достижения целей и решения задач программы путем </w:t>
      </w:r>
      <w:proofErr w:type="gram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сопоставления</w:t>
      </w:r>
      <w:proofErr w:type="gram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55318E" w:rsidRPr="0055318E" w:rsidRDefault="0055318E" w:rsidP="0055318E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=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степень достижения целей (решения задач),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фактическое значение индикатора (показателя) муниципальной программы,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Зп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или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5318E" w:rsidRPr="0055318E" w:rsidRDefault="0055318E" w:rsidP="0055318E">
      <w:pPr>
        <w:tabs>
          <w:tab w:val="left" w:pos="0"/>
        </w:tabs>
        <w:suppressAutoHyphens/>
        <w:spacing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55318E" w:rsidRPr="0055318E" w:rsidRDefault="0055318E" w:rsidP="0055318E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Уф=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Фф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Фп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где</w:t>
      </w:r>
      <w:proofErr w:type="gram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 – уровень финансирования реализации основных мероприятий программы,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Фф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Фп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муниципальной программы рассчитывается по следующей формуле:</w:t>
      </w:r>
    </w:p>
    <w:p w:rsidR="0055318E" w:rsidRPr="0055318E" w:rsidRDefault="0055318E" w:rsidP="0055318E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ЭП= </w:t>
      </w:r>
      <w:proofErr w:type="spell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</w:t>
      </w:r>
      <w:proofErr w:type="gramStart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ф.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Реализация муниципальной программы характеризуется: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высоким уровнем эффективности;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удовлетворительным уровнем эффективности;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неудовлетворительным уровнем эффективности.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55318E" w:rsidRPr="0055318E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55318E" w:rsidRPr="0055318E" w:rsidTr="0055318E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18E" w:rsidRPr="0055318E" w:rsidRDefault="0055318E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Вывод об эффективности реализации </w:t>
            </w:r>
          </w:p>
          <w:p w:rsidR="0055318E" w:rsidRPr="0055318E" w:rsidRDefault="0055318E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18E" w:rsidRPr="0055318E" w:rsidRDefault="0055318E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Критерий оценки эффективности (ЭП)</w:t>
            </w:r>
          </w:p>
        </w:tc>
      </w:tr>
      <w:tr w:rsidR="0055318E" w:rsidRPr="0055318E" w:rsidTr="0055318E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55318E" w:rsidRDefault="0055318E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55318E" w:rsidRDefault="0055318E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менее 0,5</w:t>
            </w:r>
          </w:p>
        </w:tc>
      </w:tr>
      <w:tr w:rsidR="0055318E" w:rsidRPr="0055318E" w:rsidTr="0055318E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55318E" w:rsidRDefault="0055318E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55318E" w:rsidRDefault="0055318E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0,5 - 0,79</w:t>
            </w:r>
          </w:p>
        </w:tc>
      </w:tr>
      <w:tr w:rsidR="0055318E" w:rsidRPr="0055318E" w:rsidTr="0055318E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55318E" w:rsidRDefault="0055318E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55318E" w:rsidRDefault="0055318E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0,8 - 1</w:t>
            </w:r>
          </w:p>
        </w:tc>
      </w:tr>
    </w:tbl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Default="0055318E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973AD" w:rsidRDefault="00B973AD" w:rsidP="0055318E">
      <w:pPr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DD473A" w:rsidRDefault="00DD473A" w:rsidP="00B973AD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DD473A" w:rsidRDefault="00DD473A" w:rsidP="00B973AD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DD473A" w:rsidRDefault="00DD473A" w:rsidP="00B973AD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5318E" w:rsidRPr="0055318E" w:rsidRDefault="0055318E" w:rsidP="00B973AD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55318E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1</w:t>
      </w:r>
    </w:p>
    <w:p w:rsidR="0055318E" w:rsidRPr="0055318E" w:rsidRDefault="0055318E" w:rsidP="00B973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55318E" w:rsidRPr="0055318E" w:rsidRDefault="000B68CE" w:rsidP="00B973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1BB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hAnsi="Times New Roman" w:cs="Times New Roman"/>
          <w:sz w:val="28"/>
          <w:szCs w:val="28"/>
        </w:rPr>
        <w:t xml:space="preserve"> Аманак</w:t>
      </w:r>
    </w:p>
    <w:p w:rsidR="00B973AD" w:rsidRDefault="0055318E" w:rsidP="00B973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t>«Формиров</w:t>
      </w:r>
      <w:r w:rsidR="00D63BF7">
        <w:rPr>
          <w:rFonts w:ascii="Times New Roman" w:eastAsia="Calibri" w:hAnsi="Times New Roman" w:cs="Times New Roman"/>
          <w:sz w:val="28"/>
          <w:szCs w:val="28"/>
        </w:rPr>
        <w:t xml:space="preserve">ание </w:t>
      </w:r>
      <w:proofErr w:type="gramStart"/>
      <w:r w:rsidR="00D63BF7">
        <w:rPr>
          <w:rFonts w:ascii="Times New Roman" w:eastAsia="Calibri" w:hAnsi="Times New Roman" w:cs="Times New Roman"/>
          <w:sz w:val="28"/>
          <w:szCs w:val="28"/>
        </w:rPr>
        <w:t>комфортной</w:t>
      </w:r>
      <w:proofErr w:type="gramEnd"/>
      <w:r w:rsidR="00D63BF7">
        <w:rPr>
          <w:rFonts w:ascii="Times New Roman" w:eastAsia="Calibri" w:hAnsi="Times New Roman" w:cs="Times New Roman"/>
          <w:sz w:val="28"/>
          <w:szCs w:val="28"/>
        </w:rPr>
        <w:t xml:space="preserve"> городской </w:t>
      </w:r>
    </w:p>
    <w:p w:rsidR="00B973AD" w:rsidRDefault="00D63BF7" w:rsidP="00B973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среды </w:t>
      </w:r>
      <w:r w:rsidR="0055318E" w:rsidRPr="00553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8CE">
        <w:rPr>
          <w:rFonts w:ascii="Times New Roman" w:eastAsia="Calibri" w:hAnsi="Times New Roman" w:cs="Times New Roman"/>
          <w:sz w:val="28"/>
          <w:szCs w:val="28"/>
        </w:rPr>
        <w:t>на</w:t>
      </w:r>
      <w:r w:rsidR="00B973AD">
        <w:rPr>
          <w:rFonts w:ascii="Times New Roman" w:eastAsia="Calibri" w:hAnsi="Times New Roman" w:cs="Times New Roman"/>
          <w:sz w:val="28"/>
          <w:szCs w:val="28"/>
        </w:rPr>
        <w:t xml:space="preserve"> территории  </w:t>
      </w:r>
      <w:proofErr w:type="gramStart"/>
      <w:r w:rsidR="00B973AD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55318E" w:rsidRPr="0055318E" w:rsidRDefault="002251F4" w:rsidP="00B973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B68CE">
        <w:rPr>
          <w:rFonts w:ascii="Times New Roman" w:eastAsia="Calibri" w:hAnsi="Times New Roman" w:cs="Times New Roman"/>
          <w:sz w:val="28"/>
          <w:szCs w:val="28"/>
        </w:rPr>
        <w:t xml:space="preserve"> 2017г.</w:t>
      </w:r>
      <w:r w:rsidR="00D63B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318E" w:rsidRPr="0055318E" w:rsidRDefault="0055318E" w:rsidP="0055318E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8E" w:rsidRPr="0055318E" w:rsidRDefault="0055318E" w:rsidP="00B973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муниципальной программы сельского поселения «Формирование комфортной городской среды</w:t>
      </w:r>
      <w:r w:rsidR="00B973AD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сель</w:t>
      </w:r>
      <w:r w:rsidR="002251F4">
        <w:rPr>
          <w:rFonts w:ascii="Times New Roman" w:eastAsia="Calibri" w:hAnsi="Times New Roman" w:cs="Times New Roman"/>
          <w:b/>
          <w:sz w:val="28"/>
          <w:szCs w:val="28"/>
        </w:rPr>
        <w:t xml:space="preserve">ского поселения Старый </w:t>
      </w:r>
      <w:proofErr w:type="spellStart"/>
      <w:r w:rsidR="002251F4">
        <w:rPr>
          <w:rFonts w:ascii="Times New Roman" w:eastAsia="Calibri" w:hAnsi="Times New Roman" w:cs="Times New Roman"/>
          <w:b/>
          <w:sz w:val="28"/>
          <w:szCs w:val="28"/>
        </w:rPr>
        <w:t>Аманак</w:t>
      </w:r>
      <w:proofErr w:type="spellEnd"/>
      <w:r w:rsidR="002251F4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973AD">
        <w:rPr>
          <w:rFonts w:ascii="Times New Roman" w:eastAsia="Calibri" w:hAnsi="Times New Roman" w:cs="Times New Roman"/>
          <w:b/>
          <w:sz w:val="28"/>
          <w:szCs w:val="28"/>
        </w:rPr>
        <w:t xml:space="preserve"> 2017г.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5318E" w:rsidRPr="0055318E" w:rsidRDefault="0055318E" w:rsidP="00B973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</w:rPr>
        <w:t>с указанием сроков их реализации</w:t>
      </w:r>
    </w:p>
    <w:p w:rsidR="0055318E" w:rsidRPr="0055318E" w:rsidRDefault="0055318E" w:rsidP="005531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3073"/>
        <w:gridCol w:w="1984"/>
        <w:gridCol w:w="850"/>
        <w:gridCol w:w="1418"/>
        <w:gridCol w:w="2127"/>
      </w:tblGrid>
      <w:tr w:rsidR="0055318E" w:rsidRPr="0055318E" w:rsidTr="00DD473A"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программы, программного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</w:t>
            </w: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B973AD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</w:t>
            </w: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результат (краткое описание)</w:t>
            </w:r>
          </w:p>
        </w:tc>
      </w:tr>
      <w:tr w:rsidR="0055318E" w:rsidRPr="0055318E" w:rsidTr="00DD473A"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55318E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55318E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55318E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55318E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318E" w:rsidRPr="0055318E" w:rsidRDefault="0055318E" w:rsidP="0055318E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3159"/>
        <w:gridCol w:w="1701"/>
        <w:gridCol w:w="992"/>
        <w:gridCol w:w="1134"/>
        <w:gridCol w:w="2244"/>
      </w:tblGrid>
      <w:tr w:rsidR="0055318E" w:rsidRPr="0055318E" w:rsidTr="0055318E">
        <w:trPr>
          <w:trHeight w:val="65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B973AD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973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318E" w:rsidRPr="0055318E" w:rsidTr="0055318E">
        <w:tc>
          <w:tcPr>
            <w:tcW w:w="99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55318E" w:rsidRDefault="0055318E" w:rsidP="003618FD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Муниципальная программа сельского поселения </w:t>
            </w:r>
            <w:proofErr w:type="gramStart"/>
            <w:r w:rsidR="00AA1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Аманак</w:t>
            </w:r>
          </w:p>
          <w:p w:rsidR="0055318E" w:rsidRPr="0055318E" w:rsidRDefault="0055318E" w:rsidP="003618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53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комфортной городской среды</w:t>
            </w:r>
            <w:r w:rsidR="003618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территории сельского поселения </w:t>
            </w:r>
            <w:proofErr w:type="gramStart"/>
            <w:r w:rsidR="003618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Старый</w:t>
            </w:r>
            <w:proofErr w:type="gramEnd"/>
            <w:r w:rsidR="003618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Аманак на 2017г.</w:t>
            </w:r>
            <w:r w:rsidR="003618FD" w:rsidRPr="00553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55318E" w:rsidRPr="0055318E" w:rsidTr="0055318E"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3618FD" w:rsidRDefault="005531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18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F4" w:rsidRPr="003618FD" w:rsidRDefault="0055318E" w:rsidP="002251F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18F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1. </w:t>
            </w:r>
            <w:r w:rsidR="0034124B" w:rsidRPr="003618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 сельского поселения расположенных по адресам: </w:t>
            </w:r>
          </w:p>
          <w:p w:rsidR="0034124B" w:rsidRPr="003618FD" w:rsidRDefault="0034124B" w:rsidP="0034124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3618FD" w:rsidRDefault="0055318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18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3618FD" w:rsidRDefault="005531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18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3618FD" w:rsidRDefault="005531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18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3618FD" w:rsidRDefault="0055318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618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и благоприятной городской среды. </w:t>
            </w:r>
            <w:r w:rsidRPr="00361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34124B" w:rsidRPr="003618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3618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55318E" w:rsidRPr="0055318E" w:rsidRDefault="0055318E" w:rsidP="0055318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318E" w:rsidRPr="0055318E" w:rsidRDefault="0055318E" w:rsidP="0055318E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5318E" w:rsidRPr="0055318E" w:rsidRDefault="0055318E" w:rsidP="0055318E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5318E" w:rsidRPr="0055318E" w:rsidRDefault="0055318E" w:rsidP="0055318E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5318E" w:rsidRPr="0055318E" w:rsidRDefault="0055318E" w:rsidP="0055318E">
      <w:pPr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5318E" w:rsidRPr="0055318E" w:rsidRDefault="0055318E" w:rsidP="00DD47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5318E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Приложение 2</w:t>
      </w:r>
    </w:p>
    <w:p w:rsidR="0055318E" w:rsidRPr="0055318E" w:rsidRDefault="0055318E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55318E" w:rsidRPr="0055318E" w:rsidRDefault="00EA6A05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="00AA1BBA"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eastAsia="Calibri" w:hAnsi="Times New Roman" w:cs="Times New Roman"/>
          <w:sz w:val="28"/>
          <w:szCs w:val="28"/>
        </w:rPr>
        <w:t xml:space="preserve"> Аманак</w:t>
      </w:r>
    </w:p>
    <w:p w:rsidR="00DD473A" w:rsidRDefault="0055318E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proofErr w:type="gramStart"/>
      <w:r w:rsidRPr="0055318E">
        <w:rPr>
          <w:rFonts w:ascii="Times New Roman" w:eastAsia="Calibri" w:hAnsi="Times New Roman" w:cs="Times New Roman"/>
          <w:sz w:val="28"/>
          <w:szCs w:val="28"/>
        </w:rPr>
        <w:t>комфортной</w:t>
      </w:r>
      <w:proofErr w:type="gramEnd"/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 городской</w:t>
      </w:r>
    </w:p>
    <w:p w:rsidR="00DD473A" w:rsidRDefault="00D63BF7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73A">
        <w:rPr>
          <w:rFonts w:ascii="Times New Roman" w:eastAsia="Calibri" w:hAnsi="Times New Roman" w:cs="Times New Roman"/>
          <w:sz w:val="28"/>
          <w:szCs w:val="28"/>
        </w:rPr>
        <w:t xml:space="preserve">среды </w:t>
      </w:r>
      <w:r w:rsidR="000B68CE">
        <w:rPr>
          <w:rFonts w:ascii="Times New Roman" w:eastAsia="Calibri" w:hAnsi="Times New Roman" w:cs="Times New Roman"/>
          <w:sz w:val="28"/>
          <w:szCs w:val="28"/>
        </w:rPr>
        <w:t>на</w:t>
      </w:r>
      <w:r w:rsidR="00DD473A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proofErr w:type="gramStart"/>
      <w:r w:rsidR="00DD473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DD4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18E" w:rsidRPr="0055318E" w:rsidRDefault="00DD473A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 w:rsidR="00225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51F4"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 w:rsidR="002251F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B68CE">
        <w:rPr>
          <w:rFonts w:ascii="Times New Roman" w:eastAsia="Calibri" w:hAnsi="Times New Roman" w:cs="Times New Roman"/>
          <w:sz w:val="28"/>
          <w:szCs w:val="28"/>
        </w:rPr>
        <w:t xml:space="preserve"> 2017г.</w:t>
      </w:r>
      <w:r w:rsidR="00D63B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318E" w:rsidRPr="0055318E" w:rsidRDefault="0055318E" w:rsidP="0055318E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55318E" w:rsidRDefault="0055318E" w:rsidP="005531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55318E" w:rsidRPr="0055318E" w:rsidRDefault="0055318E" w:rsidP="0055318E">
      <w:pPr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42"/>
        <w:gridCol w:w="1231"/>
        <w:gridCol w:w="1746"/>
        <w:gridCol w:w="141"/>
        <w:gridCol w:w="1361"/>
        <w:gridCol w:w="766"/>
        <w:gridCol w:w="1948"/>
      </w:tblGrid>
      <w:tr w:rsidR="0055318E" w:rsidRPr="00DD473A" w:rsidTr="00DD473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Значение показателей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55318E" w:rsidRPr="00DD473A" w:rsidTr="00DD473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2017 год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5318E" w:rsidRPr="00DD473A" w:rsidTr="00DD473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D473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</w:tr>
      <w:tr w:rsidR="0055318E" w:rsidRPr="0055318E" w:rsidTr="00DD473A">
        <w:tc>
          <w:tcPr>
            <w:tcW w:w="9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55318E" w:rsidRDefault="0055318E" w:rsidP="00DD47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proofErr w:type="gramStart"/>
            <w:r w:rsidR="00AA1BB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Старый</w:t>
            </w:r>
            <w:proofErr w:type="gramEnd"/>
            <w:r w:rsidR="00AA1BB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Аманак</w:t>
            </w:r>
            <w:r w:rsidRPr="0055318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318E" w:rsidRPr="0055318E" w:rsidRDefault="0055318E" w:rsidP="00DD4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55318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5531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Формирование комфортной городской среды</w:t>
            </w:r>
            <w:r w:rsidR="00DD47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сельского поселения </w:t>
            </w:r>
            <w:proofErr w:type="gramStart"/>
            <w:r w:rsidR="00DD47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Старый</w:t>
            </w:r>
            <w:proofErr w:type="gramEnd"/>
            <w:r w:rsidR="002251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51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Аманак</w:t>
            </w:r>
            <w:proofErr w:type="spellEnd"/>
            <w:r w:rsidR="002251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</w:t>
            </w:r>
            <w:r w:rsidR="00DD47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2017 г.</w:t>
            </w:r>
            <w:r w:rsidRPr="005531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5318E" w:rsidRPr="0055318E" w:rsidTr="00DD473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55318E" w:rsidRDefault="0055318E">
            <w:pPr>
              <w:widowControl w:val="0"/>
              <w:spacing w:before="40" w:after="4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531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DD473A" w:rsidRDefault="0055318E">
            <w:pPr>
              <w:spacing w:before="40" w:after="4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многоквартирных домов города сельского поселения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before="40" w:after="4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before="40" w:after="4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55318E">
            <w:pPr>
              <w:spacing w:before="40" w:after="4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DD473A" w:rsidRDefault="00DD473A">
            <w:pPr>
              <w:widowControl w:val="0"/>
              <w:spacing w:before="40" w:after="4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8E" w:rsidRPr="00DD473A" w:rsidRDefault="0055318E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</w:tbl>
    <w:p w:rsidR="0055318E" w:rsidRPr="0055318E" w:rsidRDefault="0055318E" w:rsidP="0055318E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eastAsia="x-none"/>
        </w:rPr>
      </w:pPr>
    </w:p>
    <w:p w:rsidR="0055318E" w:rsidRPr="0055318E" w:rsidRDefault="0055318E" w:rsidP="0055318E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  <w:lang w:eastAsia="x-none"/>
        </w:rPr>
      </w:pPr>
    </w:p>
    <w:p w:rsidR="00DD473A" w:rsidRDefault="00DD473A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73A" w:rsidRDefault="00DD473A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73A" w:rsidRDefault="00DD473A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73A" w:rsidRDefault="00DD473A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73A" w:rsidRDefault="00DD473A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73A" w:rsidRDefault="00DD473A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18E" w:rsidRPr="0055318E" w:rsidRDefault="0055318E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55318E" w:rsidRPr="0055318E" w:rsidRDefault="0055318E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55318E" w:rsidRPr="0055318E" w:rsidRDefault="00EA6A05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</w:t>
      </w:r>
      <w:proofErr w:type="gramStart"/>
      <w:r w:rsidR="00AA1BBA">
        <w:rPr>
          <w:rFonts w:ascii="Times New Roman" w:eastAsia="Calibri" w:hAnsi="Times New Roman" w:cs="Times New Roman"/>
          <w:sz w:val="28"/>
          <w:szCs w:val="28"/>
        </w:rPr>
        <w:t>Старый</w:t>
      </w:r>
      <w:proofErr w:type="gramEnd"/>
      <w:r w:rsidR="00AA1BBA">
        <w:rPr>
          <w:rFonts w:ascii="Times New Roman" w:eastAsia="Calibri" w:hAnsi="Times New Roman" w:cs="Times New Roman"/>
          <w:sz w:val="28"/>
          <w:szCs w:val="28"/>
        </w:rPr>
        <w:t xml:space="preserve"> Аманак</w:t>
      </w:r>
    </w:p>
    <w:p w:rsidR="00DD473A" w:rsidRDefault="0055318E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18E">
        <w:rPr>
          <w:rFonts w:ascii="Times New Roman" w:eastAsia="Calibri" w:hAnsi="Times New Roman" w:cs="Times New Roman"/>
          <w:sz w:val="28"/>
          <w:szCs w:val="28"/>
        </w:rPr>
        <w:t>«Формиров</w:t>
      </w:r>
      <w:r w:rsidR="00D63BF7">
        <w:rPr>
          <w:rFonts w:ascii="Times New Roman" w:eastAsia="Calibri" w:hAnsi="Times New Roman" w:cs="Times New Roman"/>
          <w:sz w:val="28"/>
          <w:szCs w:val="28"/>
        </w:rPr>
        <w:t xml:space="preserve">ание </w:t>
      </w:r>
      <w:proofErr w:type="gramStart"/>
      <w:r w:rsidR="00D63BF7">
        <w:rPr>
          <w:rFonts w:ascii="Times New Roman" w:eastAsia="Calibri" w:hAnsi="Times New Roman" w:cs="Times New Roman"/>
          <w:sz w:val="28"/>
          <w:szCs w:val="28"/>
        </w:rPr>
        <w:t>комфортной</w:t>
      </w:r>
      <w:proofErr w:type="gramEnd"/>
      <w:r w:rsidR="00D63BF7">
        <w:rPr>
          <w:rFonts w:ascii="Times New Roman" w:eastAsia="Calibri" w:hAnsi="Times New Roman" w:cs="Times New Roman"/>
          <w:sz w:val="28"/>
          <w:szCs w:val="28"/>
        </w:rPr>
        <w:t xml:space="preserve"> городской </w:t>
      </w:r>
    </w:p>
    <w:p w:rsidR="00DD473A" w:rsidRDefault="00D63BF7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среды </w:t>
      </w:r>
      <w:r w:rsidR="000B68CE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D473A">
        <w:rPr>
          <w:rFonts w:ascii="Times New Roman" w:eastAsia="Calibri" w:hAnsi="Times New Roman" w:cs="Times New Roman"/>
          <w:sz w:val="28"/>
          <w:szCs w:val="28"/>
        </w:rPr>
        <w:t xml:space="preserve"> территории сельского поселения </w:t>
      </w:r>
    </w:p>
    <w:p w:rsidR="0055318E" w:rsidRPr="0055318E" w:rsidRDefault="002251F4" w:rsidP="00DD473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B68CE">
        <w:rPr>
          <w:rFonts w:ascii="Times New Roman" w:eastAsia="Calibri" w:hAnsi="Times New Roman" w:cs="Times New Roman"/>
          <w:sz w:val="28"/>
          <w:szCs w:val="28"/>
        </w:rPr>
        <w:t xml:space="preserve"> 2017г.</w:t>
      </w:r>
      <w:r w:rsidR="00D63B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318E" w:rsidRPr="0055318E" w:rsidRDefault="0055318E" w:rsidP="005531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18E" w:rsidRPr="0055318E" w:rsidRDefault="0055318E" w:rsidP="005531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55318E" w:rsidRDefault="0055318E" w:rsidP="00DD47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Финансовое обеспечение реализации муниципальной программы </w:t>
      </w:r>
    </w:p>
    <w:p w:rsidR="0055318E" w:rsidRPr="0055318E" w:rsidRDefault="0055318E" w:rsidP="00DD47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сельского поселения </w:t>
      </w:r>
      <w:proofErr w:type="gramStart"/>
      <w:r w:rsidR="00AA1BBA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Старый</w:t>
      </w:r>
      <w:proofErr w:type="gramEnd"/>
      <w:r w:rsidR="00AA1BBA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Аманак</w:t>
      </w:r>
    </w:p>
    <w:p w:rsidR="0055318E" w:rsidRPr="0055318E" w:rsidRDefault="0055318E" w:rsidP="00DD47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18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</w:t>
      </w:r>
      <w:proofErr w:type="gramStart"/>
      <w:r w:rsidRPr="0055318E">
        <w:rPr>
          <w:rFonts w:ascii="Times New Roman" w:eastAsia="Calibri" w:hAnsi="Times New Roman" w:cs="Times New Roman"/>
          <w:b/>
          <w:sz w:val="28"/>
          <w:szCs w:val="28"/>
        </w:rPr>
        <w:t>«Формирование комфортной городской среды</w:t>
      </w:r>
      <w:r w:rsidR="002251F4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сельского поселения Старый </w:t>
      </w:r>
      <w:proofErr w:type="spellStart"/>
      <w:r w:rsidR="002251F4">
        <w:rPr>
          <w:rFonts w:ascii="Times New Roman" w:eastAsia="Calibri" w:hAnsi="Times New Roman" w:cs="Times New Roman"/>
          <w:b/>
          <w:sz w:val="28"/>
          <w:szCs w:val="28"/>
        </w:rPr>
        <w:t>Аманак</w:t>
      </w:r>
      <w:proofErr w:type="spellEnd"/>
      <w:r w:rsidR="002251F4">
        <w:rPr>
          <w:rFonts w:ascii="Times New Roman" w:eastAsia="Calibri" w:hAnsi="Times New Roman" w:cs="Times New Roman"/>
          <w:b/>
          <w:sz w:val="28"/>
          <w:szCs w:val="28"/>
        </w:rPr>
        <w:t xml:space="preserve"> в 2017г.</w:t>
      </w:r>
      <w:r w:rsidRPr="0055318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55318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за счет средств федерального бюджета</w:t>
      </w:r>
      <w:proofErr w:type="gramEnd"/>
    </w:p>
    <w:p w:rsidR="0055318E" w:rsidRPr="0055318E" w:rsidRDefault="0055318E" w:rsidP="0055318E">
      <w:pPr>
        <w:spacing w:line="32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55318E" w:rsidRDefault="0055318E" w:rsidP="0055318E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61"/>
        <w:gridCol w:w="882"/>
        <w:gridCol w:w="851"/>
        <w:gridCol w:w="708"/>
        <w:gridCol w:w="2835"/>
      </w:tblGrid>
      <w:tr w:rsidR="0055318E" w:rsidRPr="0055318E" w:rsidTr="00DD473A">
        <w:trPr>
          <w:cantSplit/>
          <w:trHeight w:val="53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</w:tr>
      <w:tr w:rsidR="0055318E" w:rsidRPr="0055318E" w:rsidTr="00DD473A">
        <w:trPr>
          <w:cantSplit/>
          <w:trHeight w:val="884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55318E" w:rsidRPr="0055318E" w:rsidTr="00DD473A">
        <w:trPr>
          <w:cantSplit/>
          <w:trHeight w:val="64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18E" w:rsidRPr="0055318E" w:rsidTr="00DD473A">
        <w:trPr>
          <w:cantSplit/>
          <w:trHeight w:val="3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318E" w:rsidRPr="00DD473A" w:rsidRDefault="0055318E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Муниципальная программа сельского поселения «Формирование комфортной городской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x-none" w:bidi="x-none"/>
              </w:rPr>
            </w:pPr>
          </w:p>
        </w:tc>
      </w:tr>
      <w:tr w:rsidR="0055318E" w:rsidRPr="0055318E" w:rsidTr="00DD473A">
        <w:trPr>
          <w:cantSplit/>
          <w:trHeight w:val="35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DD473A" w:rsidRDefault="0055318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Министерство строительства и жилищно – коммунального хозяйства Российской Федерации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5318E" w:rsidRPr="0055318E" w:rsidTr="00DD473A">
        <w:trPr>
          <w:cantSplit/>
          <w:trHeight w:val="3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31BB" w:rsidRDefault="0055318E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55318E" w:rsidRPr="00DD473A" w:rsidRDefault="0055318E" w:rsidP="007431B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47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DD473A" w:rsidRDefault="005531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DD473A" w:rsidRDefault="0055318E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x-none" w:bidi="x-none"/>
              </w:rPr>
            </w:pPr>
          </w:p>
        </w:tc>
      </w:tr>
      <w:tr w:rsidR="0055318E" w:rsidRPr="0055318E" w:rsidTr="00DD473A">
        <w:trPr>
          <w:cantSplit/>
          <w:trHeight w:val="3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73A" w:rsidRDefault="0055318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</w:p>
          <w:p w:rsidR="0055318E" w:rsidRPr="00DD473A" w:rsidRDefault="0055318E" w:rsidP="002251F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  <w:r w:rsid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  сельского поселения, расположенных по адресам: ул.</w:t>
            </w:r>
            <w:r w:rsid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DD473A" w:rsidRDefault="0055318E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x-none" w:bidi="x-none"/>
              </w:rPr>
            </w:pPr>
            <w:r w:rsidRPr="00DD473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Министерство строительства и жилищно – коммунального хозяйства Российской Федерации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55318E" w:rsidRDefault="0055318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55318E" w:rsidRDefault="0055318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8E" w:rsidRPr="0055318E" w:rsidRDefault="0055318E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55318E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8E" w:rsidRPr="0055318E" w:rsidRDefault="0055318E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eastAsia="x-none" w:bidi="x-none"/>
              </w:rPr>
            </w:pPr>
          </w:p>
        </w:tc>
      </w:tr>
    </w:tbl>
    <w:p w:rsidR="0055318E" w:rsidRPr="0055318E" w:rsidRDefault="0055318E" w:rsidP="0055318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5318E" w:rsidRPr="0055318E" w:rsidSect="00B973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000E75"/>
    <w:rsid w:val="000B68CE"/>
    <w:rsid w:val="001A13A7"/>
    <w:rsid w:val="002251F4"/>
    <w:rsid w:val="0034124B"/>
    <w:rsid w:val="003618FD"/>
    <w:rsid w:val="004540A6"/>
    <w:rsid w:val="00475697"/>
    <w:rsid w:val="0055318E"/>
    <w:rsid w:val="00572126"/>
    <w:rsid w:val="005E1578"/>
    <w:rsid w:val="006E1620"/>
    <w:rsid w:val="007431BB"/>
    <w:rsid w:val="00794179"/>
    <w:rsid w:val="00971324"/>
    <w:rsid w:val="00AA1BBA"/>
    <w:rsid w:val="00B00909"/>
    <w:rsid w:val="00B21047"/>
    <w:rsid w:val="00B82E82"/>
    <w:rsid w:val="00B973AD"/>
    <w:rsid w:val="00BD5A70"/>
    <w:rsid w:val="00C00DFF"/>
    <w:rsid w:val="00C6342D"/>
    <w:rsid w:val="00D63BF7"/>
    <w:rsid w:val="00D97F73"/>
    <w:rsid w:val="00DA7C6A"/>
    <w:rsid w:val="00DD473A"/>
    <w:rsid w:val="00EA6A05"/>
    <w:rsid w:val="00F72608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50C9-56F0-45F7-92C8-5CA32FC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мр Похвистневский</cp:lastModifiedBy>
  <cp:revision>2</cp:revision>
  <cp:lastPrinted>2017-04-14T12:05:00Z</cp:lastPrinted>
  <dcterms:created xsi:type="dcterms:W3CDTF">2017-05-12T10:06:00Z</dcterms:created>
  <dcterms:modified xsi:type="dcterms:W3CDTF">2017-05-12T10:06:00Z</dcterms:modified>
</cp:coreProperties>
</file>